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654" w:rsidRDefault="006D1654" w:rsidP="0070355C">
      <w:pPr>
        <w:pStyle w:val="Heading1"/>
        <w:rPr>
          <w:b w:val="0"/>
        </w:rPr>
      </w:pPr>
      <w:r>
        <w:t>AEA 2017 Panel Session 2099 - “Translational Research: Bench to Bedside and Beyond”</w:t>
      </w:r>
    </w:p>
    <w:p w:rsidR="006D1654" w:rsidRDefault="006D1654" w:rsidP="006D1654">
      <w:pPr>
        <w:jc w:val="center"/>
        <w:rPr>
          <w:b/>
          <w:sz w:val="28"/>
          <w:szCs w:val="28"/>
        </w:rPr>
      </w:pPr>
    </w:p>
    <w:p w:rsidR="002C5555" w:rsidRDefault="006D1654" w:rsidP="002C5555">
      <w:pPr>
        <w:jc w:val="center"/>
        <w:rPr>
          <w:b/>
          <w:sz w:val="28"/>
          <w:szCs w:val="28"/>
        </w:rPr>
      </w:pPr>
      <w:r>
        <w:rPr>
          <w:b/>
          <w:sz w:val="28"/>
          <w:szCs w:val="28"/>
        </w:rPr>
        <w:t xml:space="preserve">Title: </w:t>
      </w:r>
      <w:r w:rsidR="002C5555" w:rsidRPr="0054645F">
        <w:rPr>
          <w:b/>
          <w:sz w:val="28"/>
          <w:szCs w:val="28"/>
        </w:rPr>
        <w:t xml:space="preserve">A prospective study </w:t>
      </w:r>
      <w:r w:rsidR="00664C53" w:rsidRPr="0054645F">
        <w:rPr>
          <w:b/>
          <w:sz w:val="28"/>
          <w:szCs w:val="28"/>
        </w:rPr>
        <w:t xml:space="preserve">of </w:t>
      </w:r>
      <w:r w:rsidR="002C5555" w:rsidRPr="0054645F">
        <w:rPr>
          <w:b/>
          <w:sz w:val="28"/>
          <w:szCs w:val="28"/>
        </w:rPr>
        <w:t xml:space="preserve">the translational process in the </w:t>
      </w:r>
      <w:r w:rsidR="006B10B1" w:rsidRPr="0054645F">
        <w:rPr>
          <w:b/>
          <w:sz w:val="28"/>
          <w:szCs w:val="28"/>
        </w:rPr>
        <w:t xml:space="preserve">technology development and transfer </w:t>
      </w:r>
      <w:r w:rsidR="00212715" w:rsidRPr="0054645F">
        <w:rPr>
          <w:b/>
          <w:sz w:val="28"/>
          <w:szCs w:val="28"/>
        </w:rPr>
        <w:t xml:space="preserve">projects </w:t>
      </w:r>
      <w:r w:rsidR="006B10B1" w:rsidRPr="0054645F">
        <w:rPr>
          <w:b/>
          <w:sz w:val="28"/>
          <w:szCs w:val="28"/>
        </w:rPr>
        <w:t xml:space="preserve">of </w:t>
      </w:r>
      <w:r w:rsidR="002C5555" w:rsidRPr="0054645F">
        <w:rPr>
          <w:b/>
          <w:sz w:val="28"/>
          <w:szCs w:val="28"/>
        </w:rPr>
        <w:t xml:space="preserve">NIDILRR’s technology grantees: </w:t>
      </w:r>
      <w:r>
        <w:rPr>
          <w:b/>
          <w:sz w:val="28"/>
          <w:szCs w:val="28"/>
        </w:rPr>
        <w:t>A Qualitative Study in Progress</w:t>
      </w:r>
      <w:r w:rsidR="00944822" w:rsidRPr="0054645F">
        <w:rPr>
          <w:rStyle w:val="FootnoteReference"/>
          <w:b/>
          <w:sz w:val="28"/>
          <w:szCs w:val="28"/>
        </w:rPr>
        <w:footnoteReference w:id="1"/>
      </w:r>
      <w:r w:rsidR="002C5555" w:rsidRPr="0054645F">
        <w:rPr>
          <w:b/>
          <w:sz w:val="28"/>
          <w:szCs w:val="28"/>
        </w:rPr>
        <w:t>.</w:t>
      </w:r>
    </w:p>
    <w:p w:rsidR="003A0BF8" w:rsidRPr="0054645F" w:rsidRDefault="003A0BF8" w:rsidP="002C5555">
      <w:pPr>
        <w:jc w:val="center"/>
        <w:rPr>
          <w:b/>
          <w:sz w:val="28"/>
          <w:szCs w:val="28"/>
        </w:rPr>
      </w:pPr>
    </w:p>
    <w:p w:rsidR="003A0BF8" w:rsidRPr="0054645F" w:rsidRDefault="003A0BF8" w:rsidP="00AA5EB9">
      <w:pPr>
        <w:jc w:val="center"/>
        <w:rPr>
          <w:i/>
          <w:sz w:val="28"/>
          <w:szCs w:val="28"/>
          <w:vertAlign w:val="superscript"/>
        </w:rPr>
      </w:pPr>
      <w:r w:rsidRPr="0054645F">
        <w:rPr>
          <w:i/>
          <w:sz w:val="28"/>
          <w:szCs w:val="28"/>
        </w:rPr>
        <w:t>Vathsala I. Stone</w:t>
      </w:r>
      <w:r w:rsidRPr="0054645F">
        <w:rPr>
          <w:rStyle w:val="FootnoteReference"/>
          <w:i/>
          <w:sz w:val="28"/>
          <w:szCs w:val="28"/>
        </w:rPr>
        <w:footnoteReference w:id="2"/>
      </w:r>
      <w:r w:rsidR="0050763C" w:rsidRPr="0054645F">
        <w:rPr>
          <w:i/>
          <w:sz w:val="28"/>
          <w:szCs w:val="28"/>
        </w:rPr>
        <w:t xml:space="preserve">, </w:t>
      </w:r>
      <w:r w:rsidRPr="0054645F">
        <w:rPr>
          <w:i/>
          <w:sz w:val="28"/>
          <w:szCs w:val="28"/>
        </w:rPr>
        <w:t>Joseph P. Lane</w:t>
      </w:r>
      <w:r w:rsidR="00944822" w:rsidRPr="0054645F">
        <w:rPr>
          <w:i/>
          <w:sz w:val="28"/>
          <w:szCs w:val="28"/>
          <w:vertAlign w:val="superscript"/>
        </w:rPr>
        <w:t>2</w:t>
      </w:r>
      <w:r w:rsidR="0050763C" w:rsidRPr="0054645F">
        <w:rPr>
          <w:i/>
          <w:sz w:val="28"/>
          <w:szCs w:val="28"/>
          <w:vertAlign w:val="superscript"/>
        </w:rPr>
        <w:t>,</w:t>
      </w:r>
      <w:r w:rsidRPr="0054645F">
        <w:rPr>
          <w:rStyle w:val="FootnoteReference"/>
          <w:i/>
          <w:sz w:val="28"/>
          <w:szCs w:val="28"/>
        </w:rPr>
        <w:footnoteReference w:id="3"/>
      </w:r>
      <w:r w:rsidR="0050763C" w:rsidRPr="0054645F">
        <w:rPr>
          <w:i/>
          <w:sz w:val="28"/>
          <w:szCs w:val="28"/>
        </w:rPr>
        <w:t xml:space="preserve"> and Michelle Lockett</w:t>
      </w:r>
      <w:r w:rsidR="00944822" w:rsidRPr="0054645F">
        <w:rPr>
          <w:i/>
          <w:sz w:val="28"/>
          <w:szCs w:val="28"/>
          <w:vertAlign w:val="superscript"/>
        </w:rPr>
        <w:t>2</w:t>
      </w:r>
    </w:p>
    <w:p w:rsidR="00AA5EB9" w:rsidRPr="0054645F" w:rsidRDefault="00AA5EB9" w:rsidP="00AA5EB9">
      <w:pPr>
        <w:rPr>
          <w:b/>
          <w:sz w:val="28"/>
          <w:szCs w:val="28"/>
        </w:rPr>
      </w:pPr>
    </w:p>
    <w:p w:rsidR="00003F41" w:rsidRPr="0054645F" w:rsidRDefault="00003F41" w:rsidP="002C5555">
      <w:pPr>
        <w:jc w:val="center"/>
        <w:rPr>
          <w:sz w:val="28"/>
          <w:szCs w:val="28"/>
        </w:rPr>
      </w:pPr>
    </w:p>
    <w:p w:rsidR="00003F41" w:rsidRPr="0054645F" w:rsidRDefault="00003F41" w:rsidP="0070355C">
      <w:pPr>
        <w:pStyle w:val="Heading1"/>
      </w:pPr>
      <w:r w:rsidRPr="0054645F">
        <w:t>ABSTRACT</w:t>
      </w:r>
    </w:p>
    <w:p w:rsidR="00003F41" w:rsidRPr="0054645F" w:rsidRDefault="00003F41" w:rsidP="002C5555">
      <w:pPr>
        <w:jc w:val="center"/>
        <w:rPr>
          <w:b/>
          <w:sz w:val="28"/>
          <w:szCs w:val="28"/>
        </w:rPr>
      </w:pPr>
    </w:p>
    <w:p w:rsidR="006B10B1" w:rsidRPr="0054645F" w:rsidRDefault="006B10B1" w:rsidP="006B10B1">
      <w:pPr>
        <w:rPr>
          <w:sz w:val="28"/>
          <w:szCs w:val="28"/>
        </w:rPr>
      </w:pPr>
      <w:r w:rsidRPr="0054645F">
        <w:rPr>
          <w:sz w:val="28"/>
          <w:szCs w:val="28"/>
        </w:rPr>
        <w:t>This paper present</w:t>
      </w:r>
      <w:r w:rsidR="00CE4335">
        <w:rPr>
          <w:sz w:val="28"/>
          <w:szCs w:val="28"/>
        </w:rPr>
        <w:t>s</w:t>
      </w:r>
      <w:r w:rsidRPr="0054645F">
        <w:rPr>
          <w:sz w:val="28"/>
          <w:szCs w:val="28"/>
        </w:rPr>
        <w:t xml:space="preserve"> and discuss</w:t>
      </w:r>
      <w:r w:rsidR="00CE4335">
        <w:rPr>
          <w:sz w:val="28"/>
          <w:szCs w:val="28"/>
        </w:rPr>
        <w:t>es</w:t>
      </w:r>
      <w:r w:rsidRPr="0054645F">
        <w:rPr>
          <w:sz w:val="28"/>
          <w:szCs w:val="28"/>
        </w:rPr>
        <w:t xml:space="preserve"> the rationale and methods of a longitudinal qualitative study currently ongoing at the </w:t>
      </w:r>
      <w:r w:rsidR="00813650" w:rsidRPr="0054645F">
        <w:rPr>
          <w:sz w:val="28"/>
          <w:szCs w:val="28"/>
        </w:rPr>
        <w:t>University at Buffalo (SUNY). The study</w:t>
      </w:r>
      <w:r w:rsidR="00AC7AC9" w:rsidRPr="0054645F">
        <w:rPr>
          <w:sz w:val="28"/>
          <w:szCs w:val="28"/>
        </w:rPr>
        <w:t xml:space="preserve"> seeks to understand the knowledge translational (KT) process, including best practices and barriers, implemented </w:t>
      </w:r>
      <w:r w:rsidR="00813650" w:rsidRPr="0054645F">
        <w:rPr>
          <w:sz w:val="28"/>
          <w:szCs w:val="28"/>
        </w:rPr>
        <w:t xml:space="preserve">in projects (n=19) sponsored </w:t>
      </w:r>
      <w:r w:rsidR="00AC7AC9" w:rsidRPr="0054645F">
        <w:rPr>
          <w:sz w:val="28"/>
          <w:szCs w:val="28"/>
        </w:rPr>
        <w:t>by the National Institute on Disability, Independent Living and Rehabilitation Research (NIDILRR)</w:t>
      </w:r>
      <w:r w:rsidR="00813650" w:rsidRPr="0054645F">
        <w:rPr>
          <w:sz w:val="28"/>
          <w:szCs w:val="28"/>
        </w:rPr>
        <w:t xml:space="preserve">. These projects </w:t>
      </w:r>
      <w:r w:rsidRPr="0054645F">
        <w:rPr>
          <w:sz w:val="28"/>
          <w:szCs w:val="28"/>
        </w:rPr>
        <w:t xml:space="preserve">develop (assistive and rehabilitation) technologies and interventions seeking to improve </w:t>
      </w:r>
      <w:r w:rsidR="00AC7AC9" w:rsidRPr="0054645F">
        <w:rPr>
          <w:sz w:val="28"/>
          <w:szCs w:val="28"/>
        </w:rPr>
        <w:t xml:space="preserve">health, </w:t>
      </w:r>
      <w:r w:rsidRPr="0054645F">
        <w:rPr>
          <w:sz w:val="28"/>
          <w:szCs w:val="28"/>
        </w:rPr>
        <w:t xml:space="preserve">function and independent living for people with disabilities. </w:t>
      </w:r>
      <w:r w:rsidR="005A185C" w:rsidRPr="0054645F">
        <w:rPr>
          <w:sz w:val="28"/>
          <w:szCs w:val="28"/>
        </w:rPr>
        <w:t xml:space="preserve">Adapted from the Canadian Institute for Health Research (CIHR)’s Knowledge Translation (KT) framework, NIDILRR’s translational model reflects elements of both Translational Research (TR) and Research Translation (RT), while including Technology transfer (TT). </w:t>
      </w:r>
      <w:r w:rsidR="00215B0B" w:rsidRPr="0054645F">
        <w:rPr>
          <w:sz w:val="28"/>
          <w:szCs w:val="28"/>
        </w:rPr>
        <w:t xml:space="preserve">Using the National Institute of Environmental Health Sciences (NIEHS)’s TR framework as basis, the </w:t>
      </w:r>
      <w:r w:rsidR="005A185C" w:rsidRPr="0054645F">
        <w:rPr>
          <w:sz w:val="28"/>
          <w:szCs w:val="28"/>
        </w:rPr>
        <w:t xml:space="preserve">paper </w:t>
      </w:r>
      <w:r w:rsidR="00CE4335">
        <w:rPr>
          <w:sz w:val="28"/>
          <w:szCs w:val="28"/>
        </w:rPr>
        <w:t>highlights p</w:t>
      </w:r>
      <w:r w:rsidR="00215B0B" w:rsidRPr="0054645F">
        <w:rPr>
          <w:sz w:val="28"/>
          <w:szCs w:val="28"/>
        </w:rPr>
        <w:t xml:space="preserve">arallels of KT </w:t>
      </w:r>
      <w:r w:rsidR="00444689" w:rsidRPr="0054645F">
        <w:rPr>
          <w:sz w:val="28"/>
          <w:szCs w:val="28"/>
        </w:rPr>
        <w:t>with</w:t>
      </w:r>
      <w:r w:rsidR="00CE4335">
        <w:rPr>
          <w:sz w:val="28"/>
          <w:szCs w:val="28"/>
        </w:rPr>
        <w:t>:</w:t>
      </w:r>
      <w:r w:rsidR="00444689" w:rsidRPr="0054645F">
        <w:rPr>
          <w:sz w:val="28"/>
          <w:szCs w:val="28"/>
        </w:rPr>
        <w:t xml:space="preserve"> (a) </w:t>
      </w:r>
      <w:r w:rsidR="00813650" w:rsidRPr="0054645F">
        <w:rPr>
          <w:sz w:val="28"/>
          <w:szCs w:val="28"/>
        </w:rPr>
        <w:t xml:space="preserve">the </w:t>
      </w:r>
      <w:r w:rsidR="00215B0B" w:rsidRPr="0054645F">
        <w:rPr>
          <w:sz w:val="28"/>
          <w:szCs w:val="28"/>
        </w:rPr>
        <w:t xml:space="preserve">stages of </w:t>
      </w:r>
      <w:r w:rsidR="00813650" w:rsidRPr="0054645F">
        <w:rPr>
          <w:sz w:val="28"/>
          <w:szCs w:val="28"/>
        </w:rPr>
        <w:t xml:space="preserve">movement of </w:t>
      </w:r>
      <w:r w:rsidR="00444689" w:rsidRPr="0054645F">
        <w:rPr>
          <w:sz w:val="28"/>
          <w:szCs w:val="28"/>
        </w:rPr>
        <w:t xml:space="preserve">research </w:t>
      </w:r>
      <w:r w:rsidR="00215B0B" w:rsidRPr="0054645F">
        <w:rPr>
          <w:sz w:val="28"/>
          <w:szCs w:val="28"/>
        </w:rPr>
        <w:t xml:space="preserve">to impact (TR) and </w:t>
      </w:r>
      <w:r w:rsidR="00444689" w:rsidRPr="0054645F">
        <w:rPr>
          <w:sz w:val="28"/>
          <w:szCs w:val="28"/>
        </w:rPr>
        <w:t xml:space="preserve">(b) </w:t>
      </w:r>
      <w:r w:rsidR="00215B0B" w:rsidRPr="0054645F">
        <w:rPr>
          <w:sz w:val="28"/>
          <w:szCs w:val="28"/>
        </w:rPr>
        <w:t xml:space="preserve">the process of </w:t>
      </w:r>
      <w:r w:rsidR="00444689" w:rsidRPr="0054645F">
        <w:rPr>
          <w:sz w:val="28"/>
          <w:szCs w:val="28"/>
        </w:rPr>
        <w:t xml:space="preserve">communicating research to </w:t>
      </w:r>
      <w:r w:rsidR="00215B0B" w:rsidRPr="0054645F">
        <w:rPr>
          <w:sz w:val="28"/>
          <w:szCs w:val="28"/>
        </w:rPr>
        <w:t xml:space="preserve">non-research stakeholders (RT). </w:t>
      </w:r>
    </w:p>
    <w:p w:rsidR="006B10B1" w:rsidRPr="0054645F" w:rsidRDefault="006B10B1"/>
    <w:p w:rsidR="003C46FE" w:rsidRPr="0054645F" w:rsidRDefault="003C46FE">
      <w:pPr>
        <w:spacing w:after="200" w:line="276" w:lineRule="auto"/>
        <w:rPr>
          <w:b/>
          <w:sz w:val="28"/>
          <w:szCs w:val="28"/>
        </w:rPr>
      </w:pPr>
      <w:r w:rsidRPr="0054645F">
        <w:rPr>
          <w:b/>
          <w:sz w:val="28"/>
          <w:szCs w:val="28"/>
        </w:rPr>
        <w:br w:type="page"/>
      </w:r>
    </w:p>
    <w:p w:rsidR="00521970" w:rsidRPr="0054645F" w:rsidRDefault="00DE02FD" w:rsidP="0070355C">
      <w:pPr>
        <w:pStyle w:val="Heading1"/>
      </w:pPr>
      <w:r w:rsidRPr="0054645F">
        <w:lastRenderedPageBreak/>
        <w:t xml:space="preserve">Summary of Presentation </w:t>
      </w:r>
    </w:p>
    <w:p w:rsidR="00DE02FD" w:rsidRPr="0054645F" w:rsidRDefault="00DE02FD" w:rsidP="00521970">
      <w:pPr>
        <w:jc w:val="center"/>
        <w:rPr>
          <w:b/>
          <w:sz w:val="28"/>
          <w:szCs w:val="28"/>
        </w:rPr>
      </w:pPr>
    </w:p>
    <w:p w:rsidR="007D01A7" w:rsidRDefault="00CF0913" w:rsidP="0070355C">
      <w:pPr>
        <w:pStyle w:val="Heading1"/>
      </w:pPr>
      <w:r w:rsidRPr="0054645F">
        <w:t>Introduction</w:t>
      </w:r>
      <w:r w:rsidR="00897009" w:rsidRPr="0054645F">
        <w:t xml:space="preserve"> </w:t>
      </w:r>
    </w:p>
    <w:p w:rsidR="00CF0913" w:rsidRPr="0054645F" w:rsidRDefault="00897009" w:rsidP="0070355C">
      <w:pPr>
        <w:pStyle w:val="Heading1"/>
      </w:pPr>
      <w:r w:rsidRPr="0054645F">
        <w:t>(Title Slide)</w:t>
      </w:r>
    </w:p>
    <w:p w:rsidR="008F578C" w:rsidRPr="0054645F" w:rsidRDefault="008F578C" w:rsidP="00DE02FD">
      <w:pPr>
        <w:rPr>
          <w:b/>
          <w:sz w:val="28"/>
          <w:szCs w:val="28"/>
        </w:rPr>
      </w:pPr>
    </w:p>
    <w:p w:rsidR="00897009" w:rsidRPr="0054645F" w:rsidRDefault="00DE02FD" w:rsidP="00DE02FD">
      <w:pPr>
        <w:rPr>
          <w:sz w:val="28"/>
          <w:szCs w:val="28"/>
        </w:rPr>
      </w:pPr>
      <w:r w:rsidRPr="0054645F">
        <w:rPr>
          <w:sz w:val="28"/>
          <w:szCs w:val="28"/>
        </w:rPr>
        <w:t xml:space="preserve">This paper </w:t>
      </w:r>
      <w:r w:rsidR="0077585F" w:rsidRPr="0054645F">
        <w:rPr>
          <w:sz w:val="28"/>
          <w:szCs w:val="28"/>
        </w:rPr>
        <w:t xml:space="preserve">summarizes </w:t>
      </w:r>
      <w:r w:rsidRPr="0054645F">
        <w:rPr>
          <w:sz w:val="28"/>
          <w:szCs w:val="28"/>
        </w:rPr>
        <w:t xml:space="preserve">the rationale and methods of a longitudinal qualitative study currently in progress </w:t>
      </w:r>
      <w:r w:rsidR="0077585F" w:rsidRPr="0054645F">
        <w:rPr>
          <w:sz w:val="28"/>
          <w:szCs w:val="28"/>
        </w:rPr>
        <w:t xml:space="preserve">at the University at Buffalo. It is a long term study we are conducting at the </w:t>
      </w:r>
      <w:r w:rsidRPr="0054645F">
        <w:rPr>
          <w:sz w:val="28"/>
          <w:szCs w:val="28"/>
        </w:rPr>
        <w:t>Center on Knowledge Translation for Technology Transfer</w:t>
      </w:r>
      <w:r w:rsidR="0077585F" w:rsidRPr="0054645F">
        <w:rPr>
          <w:sz w:val="28"/>
          <w:szCs w:val="28"/>
        </w:rPr>
        <w:t xml:space="preserve"> </w:t>
      </w:r>
      <w:r w:rsidRPr="0054645F">
        <w:rPr>
          <w:sz w:val="28"/>
          <w:szCs w:val="28"/>
        </w:rPr>
        <w:t>(KT4TT</w:t>
      </w:r>
      <w:r w:rsidR="0077585F" w:rsidRPr="0054645F">
        <w:rPr>
          <w:sz w:val="28"/>
          <w:szCs w:val="28"/>
        </w:rPr>
        <w:t xml:space="preserve">), and </w:t>
      </w:r>
      <w:r w:rsidR="00CF0913" w:rsidRPr="0054645F">
        <w:rPr>
          <w:sz w:val="28"/>
          <w:szCs w:val="28"/>
        </w:rPr>
        <w:t>we don’t have findings to report yet.</w:t>
      </w:r>
    </w:p>
    <w:p w:rsidR="00CF0913" w:rsidRPr="0054645F" w:rsidRDefault="00CF0913" w:rsidP="00DE02FD">
      <w:pPr>
        <w:rPr>
          <w:sz w:val="28"/>
          <w:szCs w:val="28"/>
        </w:rPr>
      </w:pPr>
    </w:p>
    <w:p w:rsidR="00DE02FD" w:rsidRPr="0054645F" w:rsidRDefault="0077585F" w:rsidP="00DE02FD">
      <w:pPr>
        <w:rPr>
          <w:sz w:val="28"/>
          <w:szCs w:val="28"/>
        </w:rPr>
      </w:pPr>
      <w:r w:rsidRPr="0054645F">
        <w:rPr>
          <w:sz w:val="28"/>
          <w:szCs w:val="28"/>
        </w:rPr>
        <w:t xml:space="preserve">Our </w:t>
      </w:r>
      <w:r w:rsidR="00A93924" w:rsidRPr="0054645F">
        <w:rPr>
          <w:sz w:val="28"/>
          <w:szCs w:val="28"/>
        </w:rPr>
        <w:t>Center is funded by NIDILR</w:t>
      </w:r>
      <w:r w:rsidR="00DE02FD" w:rsidRPr="0054645F">
        <w:rPr>
          <w:sz w:val="28"/>
          <w:szCs w:val="28"/>
        </w:rPr>
        <w:t xml:space="preserve">R (National Institute on Disability, Independent Living and </w:t>
      </w:r>
      <w:r w:rsidR="00A93924" w:rsidRPr="0054645F">
        <w:rPr>
          <w:sz w:val="28"/>
          <w:szCs w:val="28"/>
        </w:rPr>
        <w:t>Rehabilitation Research). NIDILR</w:t>
      </w:r>
      <w:r w:rsidR="00DE02FD" w:rsidRPr="0054645F">
        <w:rPr>
          <w:sz w:val="28"/>
          <w:szCs w:val="28"/>
        </w:rPr>
        <w:t>R’s mission is to improve the health &amp; function and quality o</w:t>
      </w:r>
      <w:r w:rsidR="00AC6BE1" w:rsidRPr="0054645F">
        <w:rPr>
          <w:sz w:val="28"/>
          <w:szCs w:val="28"/>
        </w:rPr>
        <w:t>f lif</w:t>
      </w:r>
      <w:r w:rsidR="00DD7FA7" w:rsidRPr="0054645F">
        <w:rPr>
          <w:sz w:val="28"/>
          <w:szCs w:val="28"/>
        </w:rPr>
        <w:t>e of people with disabilities</w:t>
      </w:r>
      <w:r w:rsidR="008F578C" w:rsidRPr="0054645F">
        <w:rPr>
          <w:sz w:val="28"/>
          <w:szCs w:val="28"/>
        </w:rPr>
        <w:t>, thus their abilities for community living and participation.</w:t>
      </w:r>
      <w:r w:rsidR="00065674" w:rsidRPr="0054645F">
        <w:rPr>
          <w:sz w:val="28"/>
          <w:szCs w:val="28"/>
        </w:rPr>
        <w:t xml:space="preserve"> </w:t>
      </w:r>
      <w:r w:rsidR="00DD7FA7" w:rsidRPr="0054645F">
        <w:rPr>
          <w:sz w:val="28"/>
          <w:szCs w:val="28"/>
        </w:rPr>
        <w:t xml:space="preserve"> </w:t>
      </w:r>
      <w:r w:rsidR="00833F7D" w:rsidRPr="0054645F">
        <w:rPr>
          <w:sz w:val="28"/>
          <w:szCs w:val="28"/>
        </w:rPr>
        <w:t xml:space="preserve">So a big part of the funding supports </w:t>
      </w:r>
      <w:r w:rsidR="00DD7FA7" w:rsidRPr="0054645F">
        <w:rPr>
          <w:sz w:val="28"/>
          <w:szCs w:val="28"/>
        </w:rPr>
        <w:t xml:space="preserve">Technology innovation </w:t>
      </w:r>
      <w:r w:rsidR="00833F7D" w:rsidRPr="0054645F">
        <w:rPr>
          <w:sz w:val="28"/>
          <w:szCs w:val="28"/>
        </w:rPr>
        <w:t xml:space="preserve">projects, where the </w:t>
      </w:r>
      <w:r w:rsidR="00CF0913" w:rsidRPr="0054645F">
        <w:rPr>
          <w:sz w:val="28"/>
          <w:szCs w:val="28"/>
        </w:rPr>
        <w:t xml:space="preserve">grantees </w:t>
      </w:r>
      <w:r w:rsidR="00833F7D" w:rsidRPr="0054645F">
        <w:rPr>
          <w:sz w:val="28"/>
          <w:szCs w:val="28"/>
        </w:rPr>
        <w:t>d</w:t>
      </w:r>
      <w:r w:rsidR="00CF0913" w:rsidRPr="0054645F">
        <w:rPr>
          <w:sz w:val="28"/>
          <w:szCs w:val="28"/>
        </w:rPr>
        <w:t xml:space="preserve">evelop </w:t>
      </w:r>
      <w:r w:rsidR="00833F7D" w:rsidRPr="0054645F">
        <w:rPr>
          <w:sz w:val="28"/>
          <w:szCs w:val="28"/>
        </w:rPr>
        <w:t xml:space="preserve">innovative </w:t>
      </w:r>
      <w:r w:rsidR="00CF0913" w:rsidRPr="0054645F">
        <w:rPr>
          <w:sz w:val="28"/>
          <w:szCs w:val="28"/>
        </w:rPr>
        <w:t>t</w:t>
      </w:r>
      <w:r w:rsidR="00833F7D" w:rsidRPr="0054645F">
        <w:rPr>
          <w:sz w:val="28"/>
          <w:szCs w:val="28"/>
        </w:rPr>
        <w:t xml:space="preserve">echnologies </w:t>
      </w:r>
      <w:r w:rsidR="00CF0913" w:rsidRPr="0054645F">
        <w:rPr>
          <w:sz w:val="28"/>
          <w:szCs w:val="28"/>
        </w:rPr>
        <w:t>i.e., assistive, r</w:t>
      </w:r>
      <w:r w:rsidR="00833F7D" w:rsidRPr="0054645F">
        <w:rPr>
          <w:sz w:val="28"/>
          <w:szCs w:val="28"/>
        </w:rPr>
        <w:t>ehabilitative</w:t>
      </w:r>
      <w:r w:rsidR="00CF0913" w:rsidRPr="0054645F">
        <w:rPr>
          <w:sz w:val="28"/>
          <w:szCs w:val="28"/>
        </w:rPr>
        <w:t xml:space="preserve">, service and system </w:t>
      </w:r>
      <w:r w:rsidR="00833F7D" w:rsidRPr="0054645F">
        <w:rPr>
          <w:sz w:val="28"/>
          <w:szCs w:val="28"/>
        </w:rPr>
        <w:t>technologies</w:t>
      </w:r>
      <w:r w:rsidR="00CF0913" w:rsidRPr="0054645F">
        <w:rPr>
          <w:sz w:val="28"/>
          <w:szCs w:val="28"/>
        </w:rPr>
        <w:t>-</w:t>
      </w:r>
      <w:r w:rsidR="00833F7D" w:rsidRPr="0054645F">
        <w:rPr>
          <w:sz w:val="28"/>
          <w:szCs w:val="28"/>
        </w:rPr>
        <w:t xml:space="preserve"> for people with disabilities.</w:t>
      </w:r>
      <w:r w:rsidR="00CF0913" w:rsidRPr="0054645F">
        <w:rPr>
          <w:sz w:val="28"/>
          <w:szCs w:val="28"/>
        </w:rPr>
        <w:t xml:space="preserve"> </w:t>
      </w:r>
    </w:p>
    <w:p w:rsidR="0077585F" w:rsidRPr="0054645F" w:rsidRDefault="0077585F" w:rsidP="00DE02FD">
      <w:pPr>
        <w:rPr>
          <w:sz w:val="28"/>
          <w:szCs w:val="28"/>
        </w:rPr>
      </w:pPr>
    </w:p>
    <w:p w:rsidR="00897009" w:rsidRPr="0054645F" w:rsidRDefault="0077585F" w:rsidP="00DE02FD">
      <w:pPr>
        <w:rPr>
          <w:sz w:val="28"/>
          <w:szCs w:val="28"/>
        </w:rPr>
      </w:pPr>
      <w:r w:rsidRPr="0054645F">
        <w:rPr>
          <w:sz w:val="28"/>
          <w:szCs w:val="28"/>
        </w:rPr>
        <w:t xml:space="preserve">The </w:t>
      </w:r>
      <w:r w:rsidR="00897009" w:rsidRPr="0054645F">
        <w:rPr>
          <w:sz w:val="28"/>
          <w:szCs w:val="28"/>
        </w:rPr>
        <w:t xml:space="preserve">issue addressed by the </w:t>
      </w:r>
      <w:r w:rsidRPr="0054645F">
        <w:rPr>
          <w:sz w:val="28"/>
          <w:szCs w:val="28"/>
        </w:rPr>
        <w:t xml:space="preserve">study </w:t>
      </w:r>
      <w:r w:rsidR="00897009" w:rsidRPr="0054645F">
        <w:rPr>
          <w:sz w:val="28"/>
          <w:szCs w:val="28"/>
        </w:rPr>
        <w:t xml:space="preserve">is the same as the one </w:t>
      </w:r>
      <w:r w:rsidRPr="0054645F">
        <w:rPr>
          <w:sz w:val="28"/>
          <w:szCs w:val="28"/>
        </w:rPr>
        <w:t>we are discussing in this panel. That is</w:t>
      </w:r>
      <w:r w:rsidR="00897009" w:rsidRPr="0054645F">
        <w:rPr>
          <w:sz w:val="28"/>
          <w:szCs w:val="28"/>
        </w:rPr>
        <w:t>…..</w:t>
      </w:r>
    </w:p>
    <w:p w:rsidR="00897009" w:rsidRPr="0054645F" w:rsidRDefault="00897009" w:rsidP="00897009">
      <w:pPr>
        <w:ind w:left="720"/>
        <w:rPr>
          <w:b/>
          <w:i/>
          <w:sz w:val="28"/>
          <w:szCs w:val="28"/>
        </w:rPr>
      </w:pPr>
    </w:p>
    <w:p w:rsidR="00897009" w:rsidRPr="0054645F" w:rsidRDefault="00897009" w:rsidP="00897009">
      <w:pPr>
        <w:ind w:left="720"/>
        <w:rPr>
          <w:b/>
          <w:i/>
          <w:sz w:val="28"/>
          <w:szCs w:val="28"/>
        </w:rPr>
      </w:pPr>
      <w:r w:rsidRPr="0054645F">
        <w:rPr>
          <w:b/>
          <w:i/>
          <w:sz w:val="28"/>
          <w:szCs w:val="28"/>
        </w:rPr>
        <w:t xml:space="preserve">How </w:t>
      </w:r>
      <w:r w:rsidR="000161A6" w:rsidRPr="0054645F">
        <w:rPr>
          <w:b/>
          <w:i/>
          <w:sz w:val="28"/>
          <w:szCs w:val="28"/>
        </w:rPr>
        <w:t>to</w:t>
      </w:r>
      <w:r w:rsidRPr="0054645F">
        <w:rPr>
          <w:b/>
          <w:i/>
          <w:sz w:val="28"/>
          <w:szCs w:val="28"/>
        </w:rPr>
        <w:t xml:space="preserve"> get t</w:t>
      </w:r>
      <w:r w:rsidR="00423EA5" w:rsidRPr="0054645F">
        <w:rPr>
          <w:b/>
          <w:i/>
          <w:sz w:val="28"/>
          <w:szCs w:val="28"/>
        </w:rPr>
        <w:t>he Knowledge</w:t>
      </w:r>
      <w:r w:rsidR="00022EED" w:rsidRPr="0054645F">
        <w:rPr>
          <w:b/>
          <w:i/>
          <w:sz w:val="28"/>
          <w:szCs w:val="28"/>
        </w:rPr>
        <w:t xml:space="preserve"> </w:t>
      </w:r>
      <w:r w:rsidR="0077585F" w:rsidRPr="0054645F">
        <w:rPr>
          <w:b/>
          <w:i/>
          <w:sz w:val="28"/>
          <w:szCs w:val="28"/>
        </w:rPr>
        <w:t xml:space="preserve">generated </w:t>
      </w:r>
      <w:r w:rsidR="00022EED" w:rsidRPr="0054645F">
        <w:rPr>
          <w:b/>
          <w:i/>
          <w:sz w:val="28"/>
          <w:szCs w:val="28"/>
        </w:rPr>
        <w:t xml:space="preserve">from </w:t>
      </w:r>
      <w:r w:rsidR="0077585F" w:rsidRPr="0054645F">
        <w:rPr>
          <w:b/>
          <w:i/>
          <w:sz w:val="28"/>
          <w:szCs w:val="28"/>
        </w:rPr>
        <w:t xml:space="preserve">Research </w:t>
      </w:r>
      <w:r w:rsidR="00423EA5" w:rsidRPr="0054645F">
        <w:rPr>
          <w:b/>
          <w:i/>
          <w:sz w:val="28"/>
          <w:szCs w:val="28"/>
        </w:rPr>
        <w:t xml:space="preserve">to move </w:t>
      </w:r>
      <w:r w:rsidR="00022EED" w:rsidRPr="0054645F">
        <w:rPr>
          <w:b/>
          <w:i/>
          <w:sz w:val="28"/>
          <w:szCs w:val="28"/>
        </w:rPr>
        <w:t xml:space="preserve">through </w:t>
      </w:r>
      <w:r w:rsidR="00423EA5" w:rsidRPr="0054645F">
        <w:rPr>
          <w:b/>
          <w:i/>
          <w:sz w:val="28"/>
          <w:szCs w:val="28"/>
        </w:rPr>
        <w:t xml:space="preserve">multiple </w:t>
      </w:r>
      <w:r w:rsidR="00022EED" w:rsidRPr="0054645F">
        <w:rPr>
          <w:b/>
          <w:i/>
          <w:sz w:val="28"/>
          <w:szCs w:val="28"/>
        </w:rPr>
        <w:t xml:space="preserve">stakeholders who uptake </w:t>
      </w:r>
      <w:r w:rsidR="00CF494C" w:rsidRPr="0054645F">
        <w:rPr>
          <w:b/>
          <w:i/>
          <w:sz w:val="28"/>
          <w:szCs w:val="28"/>
        </w:rPr>
        <w:t xml:space="preserve">and work </w:t>
      </w:r>
      <w:r w:rsidR="00423EA5" w:rsidRPr="0054645F">
        <w:rPr>
          <w:b/>
          <w:i/>
          <w:sz w:val="28"/>
          <w:szCs w:val="28"/>
        </w:rPr>
        <w:t xml:space="preserve">with the knowledge, to finally </w:t>
      </w:r>
      <w:r w:rsidR="00CF494C" w:rsidRPr="0054645F">
        <w:rPr>
          <w:b/>
          <w:i/>
          <w:sz w:val="28"/>
          <w:szCs w:val="28"/>
        </w:rPr>
        <w:t>reach and benefit the target populations</w:t>
      </w:r>
      <w:r w:rsidRPr="0054645F">
        <w:rPr>
          <w:b/>
          <w:i/>
          <w:sz w:val="28"/>
          <w:szCs w:val="28"/>
        </w:rPr>
        <w:t>?</w:t>
      </w:r>
    </w:p>
    <w:p w:rsidR="00897009" w:rsidRPr="0054645F" w:rsidRDefault="00897009" w:rsidP="00897009">
      <w:pPr>
        <w:rPr>
          <w:sz w:val="28"/>
          <w:szCs w:val="28"/>
        </w:rPr>
      </w:pPr>
    </w:p>
    <w:p w:rsidR="00CF0913" w:rsidRPr="0054645F" w:rsidRDefault="00423EA5" w:rsidP="00897009">
      <w:pPr>
        <w:rPr>
          <w:sz w:val="28"/>
          <w:szCs w:val="28"/>
        </w:rPr>
      </w:pPr>
      <w:r w:rsidRPr="0054645F">
        <w:rPr>
          <w:sz w:val="28"/>
          <w:szCs w:val="28"/>
        </w:rPr>
        <w:t>NIDIL</w:t>
      </w:r>
      <w:r w:rsidR="00A93924" w:rsidRPr="0054645F">
        <w:rPr>
          <w:sz w:val="28"/>
          <w:szCs w:val="28"/>
        </w:rPr>
        <w:t>R</w:t>
      </w:r>
      <w:r w:rsidRPr="0054645F">
        <w:rPr>
          <w:sz w:val="28"/>
          <w:szCs w:val="28"/>
        </w:rPr>
        <w:t xml:space="preserve">R, which sponsors </w:t>
      </w:r>
      <w:r w:rsidR="00897009" w:rsidRPr="0054645F">
        <w:rPr>
          <w:sz w:val="28"/>
          <w:szCs w:val="28"/>
        </w:rPr>
        <w:t xml:space="preserve">our Center, addresses the issue using a </w:t>
      </w:r>
      <w:r w:rsidR="00A93924" w:rsidRPr="0054645F">
        <w:rPr>
          <w:sz w:val="28"/>
          <w:szCs w:val="28"/>
        </w:rPr>
        <w:t>KNOWLE</w:t>
      </w:r>
      <w:r w:rsidR="00897009" w:rsidRPr="0054645F">
        <w:rPr>
          <w:sz w:val="28"/>
          <w:szCs w:val="28"/>
        </w:rPr>
        <w:t xml:space="preserve">DGE TRANSLATION or KT framework, which is the context for the study </w:t>
      </w:r>
      <w:r w:rsidR="00065674" w:rsidRPr="0054645F">
        <w:rPr>
          <w:sz w:val="28"/>
          <w:szCs w:val="28"/>
        </w:rPr>
        <w:t xml:space="preserve">that is being </w:t>
      </w:r>
      <w:r w:rsidR="00897009" w:rsidRPr="0054645F">
        <w:rPr>
          <w:sz w:val="28"/>
          <w:szCs w:val="28"/>
        </w:rPr>
        <w:t>present</w:t>
      </w:r>
      <w:r w:rsidR="00065674" w:rsidRPr="0054645F">
        <w:rPr>
          <w:sz w:val="28"/>
          <w:szCs w:val="28"/>
        </w:rPr>
        <w:t>ed.</w:t>
      </w:r>
    </w:p>
    <w:p w:rsidR="00897009" w:rsidRPr="0054645F" w:rsidRDefault="00897009" w:rsidP="00DE02FD">
      <w:pPr>
        <w:rPr>
          <w:b/>
          <w:sz w:val="28"/>
          <w:szCs w:val="28"/>
        </w:rPr>
      </w:pPr>
    </w:p>
    <w:p w:rsidR="007D01A7" w:rsidRDefault="00283D19" w:rsidP="0070355C">
      <w:pPr>
        <w:pStyle w:val="Heading1"/>
      </w:pPr>
      <w:r w:rsidRPr="0054645F">
        <w:t>The Study Context</w:t>
      </w:r>
      <w:r w:rsidR="001B2657" w:rsidRPr="0054645F">
        <w:t>: ACL/NIDILRR’s KT Framework</w:t>
      </w:r>
      <w:r w:rsidR="00897009" w:rsidRPr="0054645F">
        <w:t xml:space="preserve"> </w:t>
      </w:r>
      <w:r w:rsidR="00CE4335">
        <w:t>focused on Technology Innovation and Use</w:t>
      </w:r>
    </w:p>
    <w:p w:rsidR="00423EA5" w:rsidRPr="0054645F" w:rsidRDefault="00897009" w:rsidP="0070355C">
      <w:pPr>
        <w:pStyle w:val="Heading1"/>
      </w:pPr>
      <w:r w:rsidRPr="0054645F">
        <w:t>(Slide 2)</w:t>
      </w:r>
    </w:p>
    <w:p w:rsidR="00CC4108" w:rsidRPr="0054645F" w:rsidRDefault="00CC4108" w:rsidP="00DE02FD">
      <w:pPr>
        <w:rPr>
          <w:sz w:val="28"/>
          <w:szCs w:val="28"/>
        </w:rPr>
      </w:pPr>
    </w:p>
    <w:p w:rsidR="00CC4108" w:rsidRPr="0054645F" w:rsidRDefault="00CC4108" w:rsidP="00DE02FD">
      <w:pPr>
        <w:rPr>
          <w:sz w:val="28"/>
          <w:szCs w:val="28"/>
        </w:rPr>
      </w:pPr>
      <w:r w:rsidRPr="0054645F">
        <w:rPr>
          <w:sz w:val="28"/>
          <w:szCs w:val="28"/>
        </w:rPr>
        <w:t>(</w:t>
      </w:r>
      <w:r w:rsidR="000161A6" w:rsidRPr="0054645F">
        <w:rPr>
          <w:sz w:val="28"/>
          <w:szCs w:val="28"/>
        </w:rPr>
        <w:t xml:space="preserve">Animation </w:t>
      </w:r>
      <w:r w:rsidRPr="0054645F">
        <w:rPr>
          <w:sz w:val="28"/>
          <w:szCs w:val="28"/>
        </w:rPr>
        <w:t>Section One)</w:t>
      </w:r>
    </w:p>
    <w:p w:rsidR="000C1A1C" w:rsidRPr="006042F2" w:rsidRDefault="00897009" w:rsidP="00DE02FD">
      <w:pPr>
        <w:rPr>
          <w:sz w:val="28"/>
          <w:szCs w:val="28"/>
        </w:rPr>
      </w:pPr>
      <w:r w:rsidRPr="0054645F">
        <w:rPr>
          <w:sz w:val="28"/>
          <w:szCs w:val="28"/>
        </w:rPr>
        <w:lastRenderedPageBreak/>
        <w:t>T</w:t>
      </w:r>
      <w:r w:rsidR="00A93924" w:rsidRPr="0054645F">
        <w:rPr>
          <w:sz w:val="28"/>
          <w:szCs w:val="28"/>
        </w:rPr>
        <w:t>he KT framework gives NIDILR</w:t>
      </w:r>
      <w:r w:rsidR="00423EA5" w:rsidRPr="0054645F">
        <w:rPr>
          <w:sz w:val="28"/>
          <w:szCs w:val="28"/>
        </w:rPr>
        <w:t>R its program the</w:t>
      </w:r>
      <w:r w:rsidR="004B5D54" w:rsidRPr="0054645F">
        <w:rPr>
          <w:sz w:val="28"/>
          <w:szCs w:val="28"/>
        </w:rPr>
        <w:t xml:space="preserve">ory or logic model </w:t>
      </w:r>
      <w:r w:rsidR="000161A6" w:rsidRPr="0054645F">
        <w:rPr>
          <w:sz w:val="28"/>
          <w:szCs w:val="28"/>
        </w:rPr>
        <w:t xml:space="preserve">if </w:t>
      </w:r>
      <w:r w:rsidR="004B5D54" w:rsidRPr="0054645F">
        <w:rPr>
          <w:sz w:val="28"/>
          <w:szCs w:val="28"/>
        </w:rPr>
        <w:t xml:space="preserve">you will – in particular, as applicable to its Technology Portfolio program, which funds its “Technology Grantees”.  </w:t>
      </w:r>
      <w:r w:rsidRPr="0054645F">
        <w:rPr>
          <w:sz w:val="28"/>
          <w:szCs w:val="28"/>
        </w:rPr>
        <w:t xml:space="preserve">As we see in </w:t>
      </w:r>
      <w:r w:rsidR="000161A6" w:rsidRPr="0054645F">
        <w:rPr>
          <w:sz w:val="28"/>
          <w:szCs w:val="28"/>
        </w:rPr>
        <w:t xml:space="preserve">Fig. 1 in </w:t>
      </w:r>
      <w:r w:rsidRPr="0054645F">
        <w:rPr>
          <w:sz w:val="28"/>
          <w:szCs w:val="28"/>
        </w:rPr>
        <w:t>this slide,</w:t>
      </w:r>
      <w:r w:rsidR="00CC4108" w:rsidRPr="0054645F">
        <w:rPr>
          <w:sz w:val="28"/>
          <w:szCs w:val="28"/>
        </w:rPr>
        <w:t xml:space="preserve"> </w:t>
      </w:r>
      <w:r w:rsidR="00423EA5" w:rsidRPr="0054645F">
        <w:rPr>
          <w:sz w:val="28"/>
          <w:szCs w:val="28"/>
        </w:rPr>
        <w:t>KT i</w:t>
      </w:r>
      <w:r w:rsidRPr="0054645F">
        <w:rPr>
          <w:sz w:val="28"/>
          <w:szCs w:val="28"/>
        </w:rPr>
        <w:t xml:space="preserve">nvolves a </w:t>
      </w:r>
      <w:r w:rsidR="00423EA5" w:rsidRPr="0054645F">
        <w:rPr>
          <w:sz w:val="28"/>
          <w:szCs w:val="28"/>
        </w:rPr>
        <w:t xml:space="preserve">comprehensive translational process that links the knowledge base </w:t>
      </w:r>
      <w:r w:rsidR="00B87077" w:rsidRPr="0054645F">
        <w:rPr>
          <w:sz w:val="28"/>
          <w:szCs w:val="28"/>
        </w:rPr>
        <w:t xml:space="preserve">in the </w:t>
      </w:r>
      <w:r w:rsidRPr="0054645F">
        <w:rPr>
          <w:sz w:val="28"/>
          <w:szCs w:val="28"/>
        </w:rPr>
        <w:t>far left of the figure -- i</w:t>
      </w:r>
      <w:r w:rsidR="00B87077" w:rsidRPr="0054645F">
        <w:rPr>
          <w:sz w:val="28"/>
          <w:szCs w:val="28"/>
        </w:rPr>
        <w:t xml:space="preserve">.e., </w:t>
      </w:r>
      <w:r w:rsidR="00DD32AC" w:rsidRPr="0054645F">
        <w:rPr>
          <w:b/>
          <w:sz w:val="28"/>
          <w:szCs w:val="28"/>
        </w:rPr>
        <w:t>knowledge</w:t>
      </w:r>
      <w:r w:rsidR="00DD32AC" w:rsidRPr="0054645F">
        <w:rPr>
          <w:sz w:val="28"/>
          <w:szCs w:val="28"/>
        </w:rPr>
        <w:t xml:space="preserve"> accumulated </w:t>
      </w:r>
      <w:r w:rsidR="00423EA5" w:rsidRPr="0054645F">
        <w:rPr>
          <w:sz w:val="28"/>
          <w:szCs w:val="28"/>
        </w:rPr>
        <w:t xml:space="preserve">in fields relevant to </w:t>
      </w:r>
      <w:r w:rsidR="00B87077" w:rsidRPr="0054645F">
        <w:rPr>
          <w:sz w:val="28"/>
          <w:szCs w:val="28"/>
        </w:rPr>
        <w:t>rehabilitation</w:t>
      </w:r>
      <w:r w:rsidR="00423EA5" w:rsidRPr="0054645F">
        <w:rPr>
          <w:sz w:val="28"/>
          <w:szCs w:val="28"/>
        </w:rPr>
        <w:t xml:space="preserve"> scien</w:t>
      </w:r>
      <w:r w:rsidR="00B87077" w:rsidRPr="0054645F">
        <w:rPr>
          <w:sz w:val="28"/>
          <w:szCs w:val="28"/>
        </w:rPr>
        <w:t>ce</w:t>
      </w:r>
      <w:r w:rsidR="00DD32AC" w:rsidRPr="0054645F">
        <w:rPr>
          <w:sz w:val="28"/>
          <w:szCs w:val="28"/>
        </w:rPr>
        <w:t xml:space="preserve">, </w:t>
      </w:r>
      <w:r w:rsidR="00B87077" w:rsidRPr="0054645F">
        <w:rPr>
          <w:sz w:val="28"/>
          <w:szCs w:val="28"/>
        </w:rPr>
        <w:t xml:space="preserve">disability </w:t>
      </w:r>
      <w:r w:rsidR="00DD32AC" w:rsidRPr="0054645F">
        <w:rPr>
          <w:sz w:val="28"/>
          <w:szCs w:val="28"/>
        </w:rPr>
        <w:t xml:space="preserve">and related others ---- </w:t>
      </w:r>
      <w:r w:rsidR="00B87077" w:rsidRPr="0054645F">
        <w:rPr>
          <w:sz w:val="28"/>
          <w:szCs w:val="28"/>
        </w:rPr>
        <w:t xml:space="preserve">all the way </w:t>
      </w:r>
      <w:r w:rsidR="00DD32AC" w:rsidRPr="0054645F">
        <w:rPr>
          <w:sz w:val="28"/>
          <w:szCs w:val="28"/>
        </w:rPr>
        <w:t xml:space="preserve">across </w:t>
      </w:r>
      <w:r w:rsidR="00B87077" w:rsidRPr="0054645F">
        <w:rPr>
          <w:sz w:val="28"/>
          <w:szCs w:val="28"/>
        </w:rPr>
        <w:t xml:space="preserve">to the </w:t>
      </w:r>
      <w:r w:rsidR="004B5D54" w:rsidRPr="0054645F">
        <w:rPr>
          <w:b/>
          <w:sz w:val="28"/>
          <w:szCs w:val="28"/>
        </w:rPr>
        <w:t>impact</w:t>
      </w:r>
      <w:r w:rsidR="004B5D54" w:rsidRPr="0054645F">
        <w:rPr>
          <w:sz w:val="28"/>
          <w:szCs w:val="28"/>
        </w:rPr>
        <w:t>/</w:t>
      </w:r>
      <w:r w:rsidR="00B87077" w:rsidRPr="0054645F">
        <w:rPr>
          <w:b/>
          <w:sz w:val="28"/>
          <w:szCs w:val="28"/>
        </w:rPr>
        <w:t>benefits</w:t>
      </w:r>
      <w:r w:rsidR="00B87077" w:rsidRPr="0054645F">
        <w:rPr>
          <w:sz w:val="28"/>
          <w:szCs w:val="28"/>
        </w:rPr>
        <w:t xml:space="preserve"> in the </w:t>
      </w:r>
      <w:r w:rsidR="00DD32AC" w:rsidRPr="0054645F">
        <w:rPr>
          <w:sz w:val="28"/>
          <w:szCs w:val="28"/>
        </w:rPr>
        <w:t>far right of the figure, which is,</w:t>
      </w:r>
      <w:r w:rsidR="00B87077" w:rsidRPr="0054645F">
        <w:rPr>
          <w:sz w:val="28"/>
          <w:szCs w:val="28"/>
        </w:rPr>
        <w:t xml:space="preserve"> improve</w:t>
      </w:r>
      <w:r w:rsidR="0043466B" w:rsidRPr="0054645F">
        <w:rPr>
          <w:sz w:val="28"/>
          <w:szCs w:val="28"/>
        </w:rPr>
        <w:t xml:space="preserve">d </w:t>
      </w:r>
      <w:r w:rsidR="00B87077" w:rsidRPr="0054645F">
        <w:rPr>
          <w:sz w:val="28"/>
          <w:szCs w:val="28"/>
        </w:rPr>
        <w:t>health and function</w:t>
      </w:r>
      <w:r w:rsidR="004B5D54" w:rsidRPr="0054645F">
        <w:rPr>
          <w:sz w:val="28"/>
          <w:szCs w:val="28"/>
        </w:rPr>
        <w:t>,</w:t>
      </w:r>
      <w:r w:rsidR="00B87077" w:rsidRPr="0054645F">
        <w:rPr>
          <w:sz w:val="28"/>
          <w:szCs w:val="28"/>
        </w:rPr>
        <w:t xml:space="preserve"> and </w:t>
      </w:r>
      <w:r w:rsidR="0043466B" w:rsidRPr="0054645F">
        <w:rPr>
          <w:sz w:val="28"/>
          <w:szCs w:val="28"/>
        </w:rPr>
        <w:t xml:space="preserve">abilities of </w:t>
      </w:r>
      <w:r w:rsidR="00B87077" w:rsidRPr="0054645F">
        <w:rPr>
          <w:sz w:val="28"/>
          <w:szCs w:val="28"/>
        </w:rPr>
        <w:t>persons with disabilities</w:t>
      </w:r>
      <w:r w:rsidR="0043466B" w:rsidRPr="0054645F">
        <w:rPr>
          <w:sz w:val="28"/>
          <w:szCs w:val="28"/>
        </w:rPr>
        <w:t xml:space="preserve"> for community participation</w:t>
      </w:r>
      <w:r w:rsidR="00B87077" w:rsidRPr="006042F2">
        <w:rPr>
          <w:sz w:val="28"/>
          <w:szCs w:val="28"/>
        </w:rPr>
        <w:t>.</w:t>
      </w:r>
      <w:r w:rsidR="000975A7" w:rsidRPr="006042F2">
        <w:rPr>
          <w:sz w:val="28"/>
          <w:szCs w:val="28"/>
        </w:rPr>
        <w:t xml:space="preserve"> </w:t>
      </w:r>
      <w:r w:rsidR="00005C4F" w:rsidRPr="006042F2">
        <w:rPr>
          <w:sz w:val="28"/>
          <w:szCs w:val="28"/>
        </w:rPr>
        <w:t>T</w:t>
      </w:r>
      <w:r w:rsidR="00DD32AC" w:rsidRPr="006042F2">
        <w:rPr>
          <w:sz w:val="28"/>
          <w:szCs w:val="28"/>
        </w:rPr>
        <w:t>his “</w:t>
      </w:r>
      <w:r w:rsidR="00B87077" w:rsidRPr="006042F2">
        <w:rPr>
          <w:sz w:val="28"/>
          <w:szCs w:val="28"/>
        </w:rPr>
        <w:t>horizontal</w:t>
      </w:r>
      <w:r w:rsidR="00DD32AC" w:rsidRPr="006042F2">
        <w:rPr>
          <w:sz w:val="28"/>
          <w:szCs w:val="28"/>
        </w:rPr>
        <w:t>”</w:t>
      </w:r>
      <w:r w:rsidR="00B87077" w:rsidRPr="006042F2">
        <w:rPr>
          <w:sz w:val="28"/>
          <w:szCs w:val="28"/>
        </w:rPr>
        <w:t xml:space="preserve"> KT process</w:t>
      </w:r>
      <w:r w:rsidR="00005C4F" w:rsidRPr="006042F2">
        <w:rPr>
          <w:sz w:val="28"/>
          <w:szCs w:val="28"/>
        </w:rPr>
        <w:t xml:space="preserve">, graphically speaking, is a knowledge </w:t>
      </w:r>
      <w:r w:rsidR="00005C4F" w:rsidRPr="006042F2">
        <w:rPr>
          <w:b/>
          <w:sz w:val="28"/>
          <w:szCs w:val="28"/>
        </w:rPr>
        <w:t>communication</w:t>
      </w:r>
      <w:r w:rsidR="00005C4F" w:rsidRPr="006042F2">
        <w:rPr>
          <w:sz w:val="28"/>
          <w:szCs w:val="28"/>
        </w:rPr>
        <w:t xml:space="preserve"> process that bridges key stakeholders along the way to impact. As NIDILRR sees it, it </w:t>
      </w:r>
      <w:r w:rsidR="00B87077" w:rsidRPr="006042F2">
        <w:rPr>
          <w:sz w:val="28"/>
          <w:szCs w:val="28"/>
        </w:rPr>
        <w:t xml:space="preserve">involves a </w:t>
      </w:r>
      <w:r w:rsidR="00DD32AC" w:rsidRPr="006042F2">
        <w:rPr>
          <w:sz w:val="28"/>
          <w:szCs w:val="28"/>
        </w:rPr>
        <w:t xml:space="preserve">strategic, </w:t>
      </w:r>
      <w:r w:rsidR="00B87077" w:rsidRPr="006042F2">
        <w:rPr>
          <w:sz w:val="28"/>
          <w:szCs w:val="28"/>
        </w:rPr>
        <w:t xml:space="preserve">multi-prong effort to communicate knowledge to </w:t>
      </w:r>
      <w:r w:rsidR="00086374" w:rsidRPr="006042F2">
        <w:rPr>
          <w:sz w:val="28"/>
          <w:szCs w:val="28"/>
        </w:rPr>
        <w:t>target</w:t>
      </w:r>
      <w:r w:rsidR="00B87077" w:rsidRPr="006042F2">
        <w:rPr>
          <w:sz w:val="28"/>
          <w:szCs w:val="28"/>
        </w:rPr>
        <w:t xml:space="preserve"> stakeholders</w:t>
      </w:r>
      <w:r w:rsidR="00005C4F" w:rsidRPr="006042F2">
        <w:rPr>
          <w:sz w:val="28"/>
          <w:szCs w:val="28"/>
        </w:rPr>
        <w:t xml:space="preserve">, </w:t>
      </w:r>
      <w:r w:rsidR="0043466B" w:rsidRPr="006042F2">
        <w:rPr>
          <w:sz w:val="28"/>
          <w:szCs w:val="28"/>
        </w:rPr>
        <w:t xml:space="preserve">through </w:t>
      </w:r>
      <w:r w:rsidR="00DD32AC" w:rsidRPr="006042F2">
        <w:rPr>
          <w:sz w:val="28"/>
          <w:szCs w:val="28"/>
        </w:rPr>
        <w:t>targeted and tailored disse</w:t>
      </w:r>
      <w:r w:rsidR="005F7BB5" w:rsidRPr="006042F2">
        <w:rPr>
          <w:sz w:val="28"/>
          <w:szCs w:val="28"/>
        </w:rPr>
        <w:t xml:space="preserve">mination, technical assistance and </w:t>
      </w:r>
      <w:r w:rsidR="00DD32AC" w:rsidRPr="006042F2">
        <w:rPr>
          <w:sz w:val="28"/>
          <w:szCs w:val="28"/>
        </w:rPr>
        <w:t>training, among other strategies</w:t>
      </w:r>
      <w:r w:rsidR="00B87077" w:rsidRPr="006042F2">
        <w:rPr>
          <w:sz w:val="28"/>
          <w:szCs w:val="28"/>
        </w:rPr>
        <w:t xml:space="preserve">. </w:t>
      </w:r>
      <w:r w:rsidR="00D8741C" w:rsidRPr="006042F2">
        <w:rPr>
          <w:sz w:val="28"/>
          <w:szCs w:val="28"/>
        </w:rPr>
        <w:t>Th</w:t>
      </w:r>
      <w:r w:rsidR="00361A3C" w:rsidRPr="006042F2">
        <w:rPr>
          <w:sz w:val="28"/>
          <w:szCs w:val="28"/>
        </w:rPr>
        <w:t xml:space="preserve">e role of this </w:t>
      </w:r>
      <w:r w:rsidR="00D8741C" w:rsidRPr="006042F2">
        <w:rPr>
          <w:sz w:val="28"/>
          <w:szCs w:val="28"/>
        </w:rPr>
        <w:t xml:space="preserve">knowledge communication process </w:t>
      </w:r>
      <w:r w:rsidR="00361A3C" w:rsidRPr="006042F2">
        <w:rPr>
          <w:sz w:val="28"/>
          <w:szCs w:val="28"/>
        </w:rPr>
        <w:t xml:space="preserve">is </w:t>
      </w:r>
      <w:r w:rsidR="00D8741C" w:rsidRPr="006042F2">
        <w:rPr>
          <w:sz w:val="28"/>
          <w:szCs w:val="28"/>
        </w:rPr>
        <w:t xml:space="preserve">to </w:t>
      </w:r>
      <w:r w:rsidR="000C1A1C" w:rsidRPr="006042F2">
        <w:rPr>
          <w:sz w:val="28"/>
          <w:szCs w:val="28"/>
        </w:rPr>
        <w:t>facilitate the use of newly generated knowledge and products</w:t>
      </w:r>
      <w:r w:rsidR="00005C4F" w:rsidRPr="006042F2">
        <w:rPr>
          <w:sz w:val="28"/>
          <w:szCs w:val="28"/>
        </w:rPr>
        <w:t xml:space="preserve">. </w:t>
      </w:r>
      <w:r w:rsidR="0043466B" w:rsidRPr="006042F2">
        <w:rPr>
          <w:sz w:val="28"/>
          <w:szCs w:val="28"/>
        </w:rPr>
        <w:t>(ACL/NIDILRR, 2017</w:t>
      </w:r>
      <w:r w:rsidR="000C1A1C" w:rsidRPr="006042F2">
        <w:rPr>
          <w:sz w:val="28"/>
          <w:szCs w:val="28"/>
        </w:rPr>
        <w:t xml:space="preserve">). </w:t>
      </w:r>
    </w:p>
    <w:p w:rsidR="000975A7" w:rsidRPr="006042F2" w:rsidRDefault="000975A7" w:rsidP="00DE02FD">
      <w:pPr>
        <w:rPr>
          <w:sz w:val="28"/>
          <w:szCs w:val="28"/>
        </w:rPr>
      </w:pPr>
    </w:p>
    <w:p w:rsidR="00DD32AC" w:rsidRPr="0054645F" w:rsidRDefault="000C1A1C" w:rsidP="00DE02FD">
      <w:pPr>
        <w:rPr>
          <w:sz w:val="28"/>
          <w:szCs w:val="28"/>
        </w:rPr>
      </w:pPr>
      <w:r w:rsidRPr="006042F2">
        <w:rPr>
          <w:sz w:val="28"/>
          <w:szCs w:val="28"/>
        </w:rPr>
        <w:t xml:space="preserve">For this presentation, I take the </w:t>
      </w:r>
      <w:r w:rsidR="000975A7" w:rsidRPr="006042F2">
        <w:rPr>
          <w:sz w:val="28"/>
          <w:szCs w:val="28"/>
        </w:rPr>
        <w:t xml:space="preserve">broader </w:t>
      </w:r>
      <w:r w:rsidRPr="006042F2">
        <w:rPr>
          <w:sz w:val="28"/>
          <w:szCs w:val="28"/>
        </w:rPr>
        <w:t xml:space="preserve">view of KT </w:t>
      </w:r>
      <w:r w:rsidR="000975A7" w:rsidRPr="006042F2">
        <w:rPr>
          <w:sz w:val="28"/>
          <w:szCs w:val="28"/>
        </w:rPr>
        <w:t xml:space="preserve">being </w:t>
      </w:r>
      <w:r w:rsidR="00C27D28" w:rsidRPr="006042F2">
        <w:rPr>
          <w:sz w:val="28"/>
          <w:szCs w:val="28"/>
        </w:rPr>
        <w:t>“</w:t>
      </w:r>
      <w:r w:rsidR="00361A3C" w:rsidRPr="006042F2">
        <w:rPr>
          <w:sz w:val="28"/>
          <w:szCs w:val="28"/>
        </w:rPr>
        <w:t xml:space="preserve">the movement of knowledge” from origin to impact, </w:t>
      </w:r>
      <w:r w:rsidRPr="006042F2">
        <w:rPr>
          <w:sz w:val="28"/>
          <w:szCs w:val="28"/>
        </w:rPr>
        <w:t xml:space="preserve">where </w:t>
      </w:r>
      <w:r w:rsidR="005F7BB5" w:rsidRPr="006042F2">
        <w:rPr>
          <w:sz w:val="28"/>
          <w:szCs w:val="28"/>
        </w:rPr>
        <w:t xml:space="preserve">strategic </w:t>
      </w:r>
      <w:r w:rsidR="00361A3C" w:rsidRPr="006042F2">
        <w:rPr>
          <w:sz w:val="28"/>
          <w:szCs w:val="28"/>
        </w:rPr>
        <w:t xml:space="preserve">communication </w:t>
      </w:r>
      <w:r w:rsidR="002B7A03" w:rsidRPr="006042F2">
        <w:rPr>
          <w:sz w:val="28"/>
          <w:szCs w:val="28"/>
        </w:rPr>
        <w:t xml:space="preserve">between stakeholders </w:t>
      </w:r>
      <w:r w:rsidRPr="006042F2">
        <w:rPr>
          <w:sz w:val="28"/>
          <w:szCs w:val="28"/>
        </w:rPr>
        <w:t xml:space="preserve">is one important </w:t>
      </w:r>
      <w:r w:rsidR="00361A3C" w:rsidRPr="006042F2">
        <w:rPr>
          <w:sz w:val="28"/>
          <w:szCs w:val="28"/>
        </w:rPr>
        <w:t xml:space="preserve">component. </w:t>
      </w:r>
      <w:r w:rsidR="002B7A03" w:rsidRPr="006042F2">
        <w:rPr>
          <w:sz w:val="28"/>
          <w:szCs w:val="28"/>
        </w:rPr>
        <w:t xml:space="preserve">On the other hand, the </w:t>
      </w:r>
      <w:r w:rsidR="00FD2924" w:rsidRPr="006042F2">
        <w:rPr>
          <w:sz w:val="28"/>
          <w:szCs w:val="28"/>
        </w:rPr>
        <w:t xml:space="preserve">very </w:t>
      </w:r>
      <w:r w:rsidR="002B7A03" w:rsidRPr="006042F2">
        <w:rPr>
          <w:sz w:val="28"/>
          <w:szCs w:val="28"/>
        </w:rPr>
        <w:t xml:space="preserve">processes of generating the </w:t>
      </w:r>
      <w:r w:rsidR="000975A7" w:rsidRPr="006042F2">
        <w:rPr>
          <w:sz w:val="28"/>
          <w:szCs w:val="28"/>
        </w:rPr>
        <w:t xml:space="preserve">new knowledge/products </w:t>
      </w:r>
      <w:r w:rsidR="002B7A03" w:rsidRPr="006042F2">
        <w:rPr>
          <w:sz w:val="28"/>
          <w:szCs w:val="28"/>
        </w:rPr>
        <w:t xml:space="preserve">that </w:t>
      </w:r>
      <w:r w:rsidR="0002327B" w:rsidRPr="006042F2">
        <w:rPr>
          <w:sz w:val="28"/>
          <w:szCs w:val="28"/>
        </w:rPr>
        <w:t xml:space="preserve">feed into and move forward </w:t>
      </w:r>
      <w:r w:rsidR="002B7A03" w:rsidRPr="006042F2">
        <w:rPr>
          <w:sz w:val="28"/>
          <w:szCs w:val="28"/>
        </w:rPr>
        <w:t xml:space="preserve">through </w:t>
      </w:r>
      <w:r w:rsidR="000975A7" w:rsidRPr="006042F2">
        <w:rPr>
          <w:sz w:val="28"/>
          <w:szCs w:val="28"/>
        </w:rPr>
        <w:t xml:space="preserve">the communication chain, </w:t>
      </w:r>
      <w:r w:rsidR="002B7A03" w:rsidRPr="006042F2">
        <w:rPr>
          <w:sz w:val="28"/>
          <w:szCs w:val="28"/>
        </w:rPr>
        <w:t xml:space="preserve">involve </w:t>
      </w:r>
      <w:r w:rsidR="000975A7" w:rsidRPr="006042F2">
        <w:rPr>
          <w:sz w:val="28"/>
          <w:szCs w:val="28"/>
        </w:rPr>
        <w:t>o</w:t>
      </w:r>
      <w:r w:rsidR="00D91F6A" w:rsidRPr="006042F2">
        <w:rPr>
          <w:sz w:val="28"/>
          <w:szCs w:val="28"/>
        </w:rPr>
        <w:t xml:space="preserve">ther </w:t>
      </w:r>
      <w:r w:rsidR="002B7A03" w:rsidRPr="006042F2">
        <w:rPr>
          <w:sz w:val="28"/>
          <w:szCs w:val="28"/>
        </w:rPr>
        <w:t xml:space="preserve">components </w:t>
      </w:r>
      <w:r w:rsidR="00D91F6A" w:rsidRPr="006042F2">
        <w:rPr>
          <w:sz w:val="28"/>
          <w:szCs w:val="28"/>
        </w:rPr>
        <w:t xml:space="preserve">fundamental to KT - and these include </w:t>
      </w:r>
      <w:r w:rsidR="002B7A03" w:rsidRPr="006042F2">
        <w:rPr>
          <w:sz w:val="28"/>
          <w:szCs w:val="28"/>
        </w:rPr>
        <w:t xml:space="preserve">knowledge </w:t>
      </w:r>
      <w:r w:rsidR="00D91F6A" w:rsidRPr="006042F2">
        <w:rPr>
          <w:sz w:val="28"/>
          <w:szCs w:val="28"/>
        </w:rPr>
        <w:t>t</w:t>
      </w:r>
      <w:r w:rsidR="00DF399F" w:rsidRPr="006042F2">
        <w:rPr>
          <w:sz w:val="28"/>
          <w:szCs w:val="28"/>
        </w:rPr>
        <w:t>ransformation</w:t>
      </w:r>
      <w:r w:rsidR="002B7A03" w:rsidRPr="006042F2">
        <w:rPr>
          <w:sz w:val="28"/>
          <w:szCs w:val="28"/>
        </w:rPr>
        <w:t xml:space="preserve"> and </w:t>
      </w:r>
      <w:r w:rsidR="00DF399F" w:rsidRPr="006042F2">
        <w:rPr>
          <w:sz w:val="28"/>
          <w:szCs w:val="28"/>
        </w:rPr>
        <w:t>transfer</w:t>
      </w:r>
      <w:r w:rsidR="002B7A03" w:rsidRPr="006042F2">
        <w:rPr>
          <w:sz w:val="28"/>
          <w:szCs w:val="28"/>
        </w:rPr>
        <w:t>.</w:t>
      </w:r>
    </w:p>
    <w:p w:rsidR="00CC4108" w:rsidRPr="0054645F" w:rsidRDefault="00CC4108" w:rsidP="00DE02FD">
      <w:pPr>
        <w:rPr>
          <w:sz w:val="28"/>
          <w:szCs w:val="28"/>
        </w:rPr>
      </w:pPr>
    </w:p>
    <w:p w:rsidR="00DD32AC" w:rsidRPr="0054645F" w:rsidRDefault="00CC4108" w:rsidP="00DE02FD">
      <w:pPr>
        <w:rPr>
          <w:sz w:val="28"/>
          <w:szCs w:val="28"/>
        </w:rPr>
      </w:pPr>
      <w:r w:rsidRPr="0054645F">
        <w:rPr>
          <w:sz w:val="28"/>
          <w:szCs w:val="28"/>
        </w:rPr>
        <w:t>(</w:t>
      </w:r>
      <w:r w:rsidR="000161A6" w:rsidRPr="0054645F">
        <w:rPr>
          <w:sz w:val="28"/>
          <w:szCs w:val="28"/>
        </w:rPr>
        <w:t xml:space="preserve">Animation </w:t>
      </w:r>
      <w:r w:rsidRPr="0054645F">
        <w:rPr>
          <w:sz w:val="28"/>
          <w:szCs w:val="28"/>
        </w:rPr>
        <w:t>Section 2)</w:t>
      </w:r>
    </w:p>
    <w:p w:rsidR="00270660" w:rsidRPr="006042F2" w:rsidRDefault="00B87077" w:rsidP="00DE02FD">
      <w:pPr>
        <w:rPr>
          <w:sz w:val="28"/>
          <w:szCs w:val="28"/>
        </w:rPr>
      </w:pPr>
      <w:r w:rsidRPr="006042F2">
        <w:rPr>
          <w:sz w:val="28"/>
          <w:szCs w:val="28"/>
        </w:rPr>
        <w:t xml:space="preserve">Within this </w:t>
      </w:r>
      <w:r w:rsidR="00DD32AC" w:rsidRPr="006042F2">
        <w:rPr>
          <w:sz w:val="28"/>
          <w:szCs w:val="28"/>
        </w:rPr>
        <w:t xml:space="preserve">overall </w:t>
      </w:r>
      <w:r w:rsidRPr="006042F2">
        <w:rPr>
          <w:sz w:val="28"/>
          <w:szCs w:val="28"/>
        </w:rPr>
        <w:t>structure, NI</w:t>
      </w:r>
      <w:r w:rsidR="00C7117C" w:rsidRPr="006042F2">
        <w:rPr>
          <w:sz w:val="28"/>
          <w:szCs w:val="28"/>
        </w:rPr>
        <w:t>DILR</w:t>
      </w:r>
      <w:r w:rsidRPr="006042F2">
        <w:rPr>
          <w:sz w:val="28"/>
          <w:szCs w:val="28"/>
        </w:rPr>
        <w:t>R funds and supports tw</w:t>
      </w:r>
      <w:r w:rsidR="00DD32AC" w:rsidRPr="006042F2">
        <w:rPr>
          <w:sz w:val="28"/>
          <w:szCs w:val="28"/>
        </w:rPr>
        <w:t xml:space="preserve">o major translational processes, shown as </w:t>
      </w:r>
      <w:r w:rsidR="00EB46D8" w:rsidRPr="006042F2">
        <w:rPr>
          <w:sz w:val="28"/>
          <w:szCs w:val="28"/>
        </w:rPr>
        <w:t xml:space="preserve">vertically </w:t>
      </w:r>
      <w:r w:rsidR="00DD32AC" w:rsidRPr="006042F2">
        <w:rPr>
          <w:sz w:val="28"/>
          <w:szCs w:val="28"/>
        </w:rPr>
        <w:t xml:space="preserve">flowing down in this figure. </w:t>
      </w:r>
      <w:r w:rsidRPr="006042F2">
        <w:rPr>
          <w:sz w:val="28"/>
          <w:szCs w:val="28"/>
        </w:rPr>
        <w:t xml:space="preserve"> </w:t>
      </w:r>
      <w:r w:rsidR="00270660" w:rsidRPr="006042F2">
        <w:rPr>
          <w:sz w:val="28"/>
          <w:szCs w:val="28"/>
        </w:rPr>
        <w:t xml:space="preserve">These KT processes involve the </w:t>
      </w:r>
      <w:r w:rsidR="00270660" w:rsidRPr="006042F2">
        <w:rPr>
          <w:b/>
          <w:sz w:val="28"/>
          <w:szCs w:val="28"/>
        </w:rPr>
        <w:t>t</w:t>
      </w:r>
      <w:r w:rsidR="00D8741C" w:rsidRPr="006042F2">
        <w:rPr>
          <w:b/>
          <w:sz w:val="28"/>
          <w:szCs w:val="28"/>
        </w:rPr>
        <w:t xml:space="preserve">ransformation </w:t>
      </w:r>
      <w:r w:rsidR="00D8741C" w:rsidRPr="006042F2">
        <w:rPr>
          <w:sz w:val="28"/>
          <w:szCs w:val="28"/>
        </w:rPr>
        <w:t xml:space="preserve">and </w:t>
      </w:r>
      <w:r w:rsidR="00D8741C" w:rsidRPr="006042F2">
        <w:rPr>
          <w:b/>
          <w:sz w:val="28"/>
          <w:szCs w:val="28"/>
        </w:rPr>
        <w:t>transfer</w:t>
      </w:r>
      <w:r w:rsidR="00D8741C" w:rsidRPr="006042F2">
        <w:rPr>
          <w:sz w:val="28"/>
          <w:szCs w:val="28"/>
        </w:rPr>
        <w:t xml:space="preserve"> components</w:t>
      </w:r>
      <w:r w:rsidR="00270660" w:rsidRPr="006042F2">
        <w:rPr>
          <w:sz w:val="28"/>
          <w:szCs w:val="28"/>
        </w:rPr>
        <w:t xml:space="preserve"> of KT. </w:t>
      </w:r>
    </w:p>
    <w:p w:rsidR="00FD2924" w:rsidRDefault="00EB46D8" w:rsidP="00FD2924">
      <w:r w:rsidRPr="006042F2">
        <w:rPr>
          <w:sz w:val="28"/>
          <w:szCs w:val="28"/>
        </w:rPr>
        <w:t xml:space="preserve">The first one </w:t>
      </w:r>
      <w:r w:rsidR="00B87077" w:rsidRPr="006042F2">
        <w:rPr>
          <w:sz w:val="28"/>
          <w:szCs w:val="28"/>
        </w:rPr>
        <w:t xml:space="preserve">is the </w:t>
      </w:r>
      <w:r w:rsidR="005F17E8" w:rsidRPr="006042F2">
        <w:rPr>
          <w:sz w:val="28"/>
          <w:szCs w:val="28"/>
        </w:rPr>
        <w:t xml:space="preserve">translational process involved in </w:t>
      </w:r>
      <w:r w:rsidRPr="006042F2">
        <w:rPr>
          <w:sz w:val="28"/>
          <w:szCs w:val="28"/>
        </w:rPr>
        <w:t xml:space="preserve">product </w:t>
      </w:r>
      <w:r w:rsidR="005F17E8" w:rsidRPr="006042F2">
        <w:rPr>
          <w:sz w:val="28"/>
          <w:szCs w:val="28"/>
        </w:rPr>
        <w:t>innovation</w:t>
      </w:r>
      <w:r w:rsidR="00081AE0" w:rsidRPr="006042F2">
        <w:rPr>
          <w:sz w:val="28"/>
          <w:szCs w:val="28"/>
        </w:rPr>
        <w:t xml:space="preserve">s through </w:t>
      </w:r>
      <w:r w:rsidR="00081AE0" w:rsidRPr="006042F2">
        <w:rPr>
          <w:b/>
          <w:i/>
          <w:sz w:val="28"/>
          <w:szCs w:val="28"/>
        </w:rPr>
        <w:t xml:space="preserve">Stages of Development. </w:t>
      </w:r>
      <w:r w:rsidRPr="006042F2">
        <w:rPr>
          <w:sz w:val="28"/>
          <w:szCs w:val="28"/>
        </w:rPr>
        <w:t xml:space="preserve">This includes both </w:t>
      </w:r>
      <w:r w:rsidR="00081AE0" w:rsidRPr="006042F2">
        <w:rPr>
          <w:sz w:val="28"/>
          <w:szCs w:val="28"/>
        </w:rPr>
        <w:t xml:space="preserve">technological </w:t>
      </w:r>
      <w:r w:rsidR="000161A6" w:rsidRPr="006042F2">
        <w:rPr>
          <w:sz w:val="28"/>
          <w:szCs w:val="28"/>
        </w:rPr>
        <w:t xml:space="preserve">and </w:t>
      </w:r>
      <w:r w:rsidR="00081AE0" w:rsidRPr="006042F2">
        <w:rPr>
          <w:sz w:val="28"/>
          <w:szCs w:val="28"/>
        </w:rPr>
        <w:t>non-technological</w:t>
      </w:r>
      <w:r w:rsidRPr="006042F2">
        <w:rPr>
          <w:sz w:val="28"/>
          <w:szCs w:val="28"/>
        </w:rPr>
        <w:t xml:space="preserve"> product innovations</w:t>
      </w:r>
      <w:r w:rsidR="00081AE0" w:rsidRPr="006042F2">
        <w:rPr>
          <w:sz w:val="28"/>
          <w:szCs w:val="28"/>
        </w:rPr>
        <w:t xml:space="preserve">. </w:t>
      </w:r>
      <w:r w:rsidR="00CC7801" w:rsidRPr="006042F2">
        <w:rPr>
          <w:sz w:val="28"/>
          <w:szCs w:val="28"/>
        </w:rPr>
        <w:t>F</w:t>
      </w:r>
      <w:r w:rsidR="00081AE0" w:rsidRPr="006042F2">
        <w:rPr>
          <w:sz w:val="28"/>
          <w:szCs w:val="28"/>
        </w:rPr>
        <w:t xml:space="preserve">or this presentation, I am focusing on technology innovations, which </w:t>
      </w:r>
      <w:r w:rsidRPr="006042F2">
        <w:rPr>
          <w:sz w:val="28"/>
          <w:szCs w:val="28"/>
        </w:rPr>
        <w:t xml:space="preserve">is a critical part of NIDILRR funding. </w:t>
      </w:r>
      <w:r w:rsidR="00FD2924" w:rsidRPr="006042F2">
        <w:rPr>
          <w:sz w:val="28"/>
          <w:szCs w:val="28"/>
        </w:rPr>
        <w:t>Here, the grantees are R&amp;D professionals – experts in scholarly research, pract</w:t>
      </w:r>
      <w:r w:rsidR="00A57555" w:rsidRPr="006042F2">
        <w:rPr>
          <w:sz w:val="28"/>
          <w:szCs w:val="28"/>
        </w:rPr>
        <w:t xml:space="preserve">ical engineering and commercial </w:t>
      </w:r>
      <w:r w:rsidR="00FD2924" w:rsidRPr="006042F2">
        <w:rPr>
          <w:sz w:val="28"/>
          <w:szCs w:val="28"/>
        </w:rPr>
        <w:t xml:space="preserve">product development - who </w:t>
      </w:r>
      <w:r w:rsidR="00A57555" w:rsidRPr="006042F2">
        <w:rPr>
          <w:sz w:val="28"/>
          <w:szCs w:val="28"/>
        </w:rPr>
        <w:t xml:space="preserve">collectively </w:t>
      </w:r>
      <w:r w:rsidR="00FD2924" w:rsidRPr="006042F2">
        <w:rPr>
          <w:sz w:val="28"/>
          <w:szCs w:val="28"/>
        </w:rPr>
        <w:t xml:space="preserve">generate the proof of </w:t>
      </w:r>
      <w:r w:rsidR="00FD2924" w:rsidRPr="006042F2">
        <w:rPr>
          <w:b/>
          <w:bCs/>
          <w:color w:val="000000"/>
          <w:sz w:val="28"/>
          <w:szCs w:val="28"/>
        </w:rPr>
        <w:t>concept</w:t>
      </w:r>
      <w:r w:rsidR="00FD2924" w:rsidRPr="006042F2">
        <w:rPr>
          <w:sz w:val="28"/>
          <w:szCs w:val="28"/>
        </w:rPr>
        <w:t xml:space="preserve"> of innovation through Scientific Research methods, then translate it into proof of </w:t>
      </w:r>
      <w:r w:rsidR="00FD2924" w:rsidRPr="006042F2">
        <w:rPr>
          <w:b/>
          <w:bCs/>
          <w:color w:val="000000"/>
          <w:sz w:val="28"/>
          <w:szCs w:val="28"/>
        </w:rPr>
        <w:t>prototype</w:t>
      </w:r>
      <w:r w:rsidR="00A57555" w:rsidRPr="006042F2">
        <w:rPr>
          <w:sz w:val="28"/>
          <w:szCs w:val="28"/>
        </w:rPr>
        <w:t xml:space="preserve"> invention</w:t>
      </w:r>
      <w:r w:rsidR="00FD2924" w:rsidRPr="006042F2">
        <w:rPr>
          <w:sz w:val="28"/>
          <w:szCs w:val="28"/>
        </w:rPr>
        <w:t xml:space="preserve"> through </w:t>
      </w:r>
      <w:r w:rsidR="00A57555" w:rsidRPr="006042F2">
        <w:rPr>
          <w:sz w:val="28"/>
          <w:szCs w:val="28"/>
        </w:rPr>
        <w:t>Engineering Development methods</w:t>
      </w:r>
      <w:r w:rsidR="00FD2924" w:rsidRPr="006042F2">
        <w:rPr>
          <w:sz w:val="28"/>
          <w:szCs w:val="28"/>
        </w:rPr>
        <w:t xml:space="preserve">, at which point they hand it over to industry which generates a market </w:t>
      </w:r>
      <w:r w:rsidR="00FD2924" w:rsidRPr="007D01A7">
        <w:rPr>
          <w:b/>
          <w:sz w:val="28"/>
          <w:szCs w:val="28"/>
        </w:rPr>
        <w:t>innovation</w:t>
      </w:r>
      <w:r w:rsidR="00FD2924" w:rsidRPr="006042F2">
        <w:rPr>
          <w:sz w:val="28"/>
          <w:szCs w:val="28"/>
        </w:rPr>
        <w:t xml:space="preserve"> through Industrial Production methods.  These activities correspond to the </w:t>
      </w:r>
      <w:r w:rsidR="00FD2924" w:rsidRPr="006042F2">
        <w:rPr>
          <w:sz w:val="28"/>
          <w:szCs w:val="28"/>
        </w:rPr>
        <w:lastRenderedPageBreak/>
        <w:t>three Phases and methods of Scientific Research, Engineering Development and Industrial Production or </w:t>
      </w:r>
      <w:r w:rsidR="00FD2924" w:rsidRPr="006042F2">
        <w:rPr>
          <w:b/>
          <w:bCs/>
          <w:color w:val="000000"/>
          <w:sz w:val="28"/>
          <w:szCs w:val="28"/>
        </w:rPr>
        <w:t>R, D, P</w:t>
      </w:r>
      <w:r w:rsidR="00FD2924" w:rsidRPr="006042F2">
        <w:rPr>
          <w:sz w:val="28"/>
          <w:szCs w:val="28"/>
        </w:rPr>
        <w:t xml:space="preserve"> Phases. The transfer to industry </w:t>
      </w:r>
      <w:r w:rsidR="00A57555" w:rsidRPr="006042F2">
        <w:rPr>
          <w:sz w:val="28"/>
          <w:szCs w:val="28"/>
        </w:rPr>
        <w:t>(</w:t>
      </w:r>
      <w:r w:rsidR="00FD2924" w:rsidRPr="006042F2">
        <w:rPr>
          <w:sz w:val="28"/>
          <w:szCs w:val="28"/>
        </w:rPr>
        <w:t>or the initiation of a start-up business typically</w:t>
      </w:r>
      <w:r w:rsidR="00A57555" w:rsidRPr="006042F2">
        <w:rPr>
          <w:sz w:val="28"/>
          <w:szCs w:val="28"/>
        </w:rPr>
        <w:t>)</w:t>
      </w:r>
      <w:r w:rsidR="00FD2924" w:rsidRPr="006042F2">
        <w:rPr>
          <w:sz w:val="28"/>
          <w:szCs w:val="28"/>
        </w:rPr>
        <w:t xml:space="preserve"> occurs between D and P. </w:t>
      </w:r>
    </w:p>
    <w:p w:rsidR="00423EA5" w:rsidRPr="0054645F" w:rsidRDefault="006042F2" w:rsidP="00DE02FD">
      <w:pPr>
        <w:rPr>
          <w:sz w:val="28"/>
          <w:szCs w:val="28"/>
        </w:rPr>
      </w:pPr>
      <w:r w:rsidRPr="006042F2">
        <w:rPr>
          <w:sz w:val="28"/>
          <w:szCs w:val="28"/>
        </w:rPr>
        <w:t xml:space="preserve">Projects intending to generate beneficial socio-economic impacts through technological innovations represent NIDILRR’s Technology Grantees who propose and conduct technology-oriented development and transfer projects, and their translational processes are essentially </w:t>
      </w:r>
      <w:r w:rsidRPr="006042F2">
        <w:rPr>
          <w:b/>
          <w:bCs/>
          <w:color w:val="000000"/>
          <w:sz w:val="28"/>
          <w:szCs w:val="28"/>
        </w:rPr>
        <w:t>KT-for-TT</w:t>
      </w:r>
      <w:r w:rsidRPr="006042F2">
        <w:rPr>
          <w:sz w:val="28"/>
          <w:szCs w:val="28"/>
        </w:rPr>
        <w:t xml:space="preserve"> processes. And these projects are the focus of the current longitudinal study.</w:t>
      </w:r>
    </w:p>
    <w:p w:rsidR="00CC4108" w:rsidRPr="0054645F" w:rsidRDefault="00CC4108" w:rsidP="00DE02FD">
      <w:pPr>
        <w:rPr>
          <w:sz w:val="28"/>
          <w:szCs w:val="28"/>
        </w:rPr>
      </w:pPr>
      <w:r w:rsidRPr="0054645F">
        <w:rPr>
          <w:sz w:val="28"/>
          <w:szCs w:val="28"/>
        </w:rPr>
        <w:t xml:space="preserve">(Section 3) </w:t>
      </w:r>
    </w:p>
    <w:p w:rsidR="00283D19" w:rsidRPr="0054645F" w:rsidRDefault="00283D19" w:rsidP="00DE02FD">
      <w:pPr>
        <w:rPr>
          <w:sz w:val="28"/>
          <w:szCs w:val="28"/>
        </w:rPr>
      </w:pPr>
      <w:r w:rsidRPr="0054645F">
        <w:rPr>
          <w:sz w:val="28"/>
          <w:szCs w:val="28"/>
        </w:rPr>
        <w:t xml:space="preserve">The second translational process you see in this slide involves </w:t>
      </w:r>
      <w:r w:rsidRPr="0054645F">
        <w:rPr>
          <w:b/>
          <w:i/>
          <w:sz w:val="28"/>
          <w:szCs w:val="28"/>
        </w:rPr>
        <w:t>Stages of Research</w:t>
      </w:r>
      <w:r w:rsidRPr="0054645F">
        <w:rPr>
          <w:sz w:val="28"/>
          <w:szCs w:val="28"/>
        </w:rPr>
        <w:t>. Where, NIDIL</w:t>
      </w:r>
      <w:r w:rsidR="00C7117C" w:rsidRPr="0054645F">
        <w:rPr>
          <w:sz w:val="28"/>
          <w:szCs w:val="28"/>
        </w:rPr>
        <w:t>R</w:t>
      </w:r>
      <w:r w:rsidRPr="0054645F">
        <w:rPr>
          <w:sz w:val="28"/>
          <w:szCs w:val="28"/>
        </w:rPr>
        <w:t xml:space="preserve">R’s </w:t>
      </w:r>
      <w:r w:rsidR="005F17E8" w:rsidRPr="0054645F">
        <w:rPr>
          <w:sz w:val="28"/>
          <w:szCs w:val="28"/>
        </w:rPr>
        <w:t xml:space="preserve">academic and/or </w:t>
      </w:r>
      <w:r w:rsidRPr="0054645F">
        <w:rPr>
          <w:sz w:val="28"/>
          <w:szCs w:val="28"/>
        </w:rPr>
        <w:t>clinical research</w:t>
      </w:r>
      <w:r w:rsidR="005F17E8" w:rsidRPr="0054645F">
        <w:rPr>
          <w:sz w:val="28"/>
          <w:szCs w:val="28"/>
        </w:rPr>
        <w:t>er</w:t>
      </w:r>
      <w:r w:rsidRPr="0054645F">
        <w:rPr>
          <w:sz w:val="28"/>
          <w:szCs w:val="28"/>
        </w:rPr>
        <w:t xml:space="preserve"> grantees uptake the technologies </w:t>
      </w:r>
      <w:r w:rsidR="005F17E8" w:rsidRPr="0054645F">
        <w:rPr>
          <w:sz w:val="28"/>
          <w:szCs w:val="28"/>
        </w:rPr>
        <w:t xml:space="preserve">generated </w:t>
      </w:r>
      <w:r w:rsidR="001B2657" w:rsidRPr="0054645F">
        <w:rPr>
          <w:sz w:val="28"/>
          <w:szCs w:val="28"/>
        </w:rPr>
        <w:t xml:space="preserve">through </w:t>
      </w:r>
      <w:r w:rsidR="005F17E8" w:rsidRPr="0054645F">
        <w:rPr>
          <w:sz w:val="28"/>
          <w:szCs w:val="28"/>
        </w:rPr>
        <w:t xml:space="preserve">the Stages of Development </w:t>
      </w:r>
      <w:r w:rsidRPr="0054645F">
        <w:rPr>
          <w:sz w:val="28"/>
          <w:szCs w:val="28"/>
        </w:rPr>
        <w:t>and t</w:t>
      </w:r>
      <w:r w:rsidR="005F17E8" w:rsidRPr="0054645F">
        <w:rPr>
          <w:sz w:val="28"/>
          <w:szCs w:val="28"/>
        </w:rPr>
        <w:t xml:space="preserve">ranslate them </w:t>
      </w:r>
      <w:r w:rsidRPr="0054645F">
        <w:rPr>
          <w:sz w:val="28"/>
          <w:szCs w:val="28"/>
        </w:rPr>
        <w:t xml:space="preserve">into </w:t>
      </w:r>
      <w:r w:rsidRPr="0054645F">
        <w:rPr>
          <w:b/>
          <w:i/>
          <w:sz w:val="28"/>
          <w:szCs w:val="28"/>
        </w:rPr>
        <w:t>evidence based interventions</w:t>
      </w:r>
      <w:r w:rsidRPr="0054645F">
        <w:rPr>
          <w:sz w:val="28"/>
          <w:szCs w:val="28"/>
        </w:rPr>
        <w:t xml:space="preserve">. I am sure most of you recognize </w:t>
      </w:r>
      <w:r w:rsidR="005F17E8" w:rsidRPr="0054645F">
        <w:rPr>
          <w:sz w:val="28"/>
          <w:szCs w:val="28"/>
        </w:rPr>
        <w:t xml:space="preserve">the parallel </w:t>
      </w:r>
      <w:r w:rsidR="00270660" w:rsidRPr="0054645F">
        <w:rPr>
          <w:sz w:val="28"/>
          <w:szCs w:val="28"/>
        </w:rPr>
        <w:t xml:space="preserve">between </w:t>
      </w:r>
      <w:r w:rsidR="005F17E8" w:rsidRPr="0054645F">
        <w:rPr>
          <w:sz w:val="28"/>
          <w:szCs w:val="28"/>
        </w:rPr>
        <w:t xml:space="preserve">these stages </w:t>
      </w:r>
      <w:r w:rsidR="00270660" w:rsidRPr="0054645F">
        <w:rPr>
          <w:sz w:val="28"/>
          <w:szCs w:val="28"/>
        </w:rPr>
        <w:t xml:space="preserve">and </w:t>
      </w:r>
      <w:r w:rsidRPr="0054645F">
        <w:rPr>
          <w:sz w:val="28"/>
          <w:szCs w:val="28"/>
        </w:rPr>
        <w:t xml:space="preserve">the translational research steps proposed </w:t>
      </w:r>
      <w:r w:rsidR="005F17E8" w:rsidRPr="0054645F">
        <w:rPr>
          <w:sz w:val="28"/>
          <w:szCs w:val="28"/>
        </w:rPr>
        <w:t xml:space="preserve">in </w:t>
      </w:r>
      <w:r w:rsidRPr="0054645F">
        <w:rPr>
          <w:sz w:val="28"/>
          <w:szCs w:val="28"/>
        </w:rPr>
        <w:t>the Translational Research Framework (TRF) just presented by Dr. Pettibone</w:t>
      </w:r>
      <w:r w:rsidR="00D1793D">
        <w:rPr>
          <w:sz w:val="28"/>
          <w:szCs w:val="28"/>
        </w:rPr>
        <w:t>.</w:t>
      </w:r>
    </w:p>
    <w:p w:rsidR="00CC4108" w:rsidRPr="0054645F" w:rsidRDefault="00CC4108" w:rsidP="00DE02FD">
      <w:pPr>
        <w:rPr>
          <w:sz w:val="28"/>
          <w:szCs w:val="28"/>
        </w:rPr>
      </w:pPr>
    </w:p>
    <w:p w:rsidR="00CC4108" w:rsidRPr="0054645F" w:rsidRDefault="00CC4108" w:rsidP="00DE02FD">
      <w:pPr>
        <w:rPr>
          <w:sz w:val="28"/>
          <w:szCs w:val="28"/>
        </w:rPr>
      </w:pPr>
      <w:r w:rsidRPr="0054645F">
        <w:rPr>
          <w:sz w:val="28"/>
          <w:szCs w:val="28"/>
        </w:rPr>
        <w:t xml:space="preserve">In a next step, horizontally speaking, </w:t>
      </w:r>
      <w:r w:rsidR="00757E43" w:rsidRPr="0054645F">
        <w:rPr>
          <w:sz w:val="28"/>
          <w:szCs w:val="28"/>
        </w:rPr>
        <w:t xml:space="preserve">Knowledge communication takes place for the </w:t>
      </w:r>
      <w:r w:rsidRPr="0054645F">
        <w:rPr>
          <w:sz w:val="28"/>
          <w:szCs w:val="28"/>
        </w:rPr>
        <w:t xml:space="preserve">uptake </w:t>
      </w:r>
      <w:r w:rsidR="00757E43" w:rsidRPr="0054645F">
        <w:rPr>
          <w:sz w:val="28"/>
          <w:szCs w:val="28"/>
        </w:rPr>
        <w:t xml:space="preserve">of these interventions </w:t>
      </w:r>
      <w:r w:rsidRPr="0054645F">
        <w:rPr>
          <w:sz w:val="28"/>
          <w:szCs w:val="28"/>
        </w:rPr>
        <w:t>by policy and service providers</w:t>
      </w:r>
      <w:r w:rsidR="00757E43" w:rsidRPr="0054645F">
        <w:rPr>
          <w:sz w:val="28"/>
          <w:szCs w:val="28"/>
        </w:rPr>
        <w:t xml:space="preserve">, which are </w:t>
      </w:r>
      <w:r w:rsidRPr="0054645F">
        <w:rPr>
          <w:sz w:val="28"/>
          <w:szCs w:val="28"/>
        </w:rPr>
        <w:t xml:space="preserve">eventually delivered to the targeted audiences. </w:t>
      </w:r>
    </w:p>
    <w:p w:rsidR="00CC4108" w:rsidRPr="0054645F" w:rsidRDefault="00CC4108" w:rsidP="00DE02FD">
      <w:pPr>
        <w:rPr>
          <w:sz w:val="28"/>
          <w:szCs w:val="28"/>
        </w:rPr>
      </w:pPr>
    </w:p>
    <w:p w:rsidR="00CC4108" w:rsidRPr="0054645F" w:rsidRDefault="00283D19" w:rsidP="00DE02FD">
      <w:pPr>
        <w:rPr>
          <w:sz w:val="28"/>
          <w:szCs w:val="28"/>
        </w:rPr>
      </w:pPr>
      <w:r w:rsidRPr="0054645F">
        <w:rPr>
          <w:sz w:val="28"/>
          <w:szCs w:val="28"/>
        </w:rPr>
        <w:t>Since technology innovation is key to NIDIL</w:t>
      </w:r>
      <w:r w:rsidR="00C7117C" w:rsidRPr="0054645F">
        <w:rPr>
          <w:sz w:val="28"/>
          <w:szCs w:val="28"/>
        </w:rPr>
        <w:t>R</w:t>
      </w:r>
      <w:r w:rsidRPr="0054645F">
        <w:rPr>
          <w:sz w:val="28"/>
          <w:szCs w:val="28"/>
        </w:rPr>
        <w:t xml:space="preserve">R’s mission, our center has developed an operational model to guide the translational processes </w:t>
      </w:r>
      <w:r w:rsidR="00757E43" w:rsidRPr="0054645F">
        <w:rPr>
          <w:sz w:val="28"/>
          <w:szCs w:val="28"/>
        </w:rPr>
        <w:t xml:space="preserve">involved in the </w:t>
      </w:r>
      <w:r w:rsidR="00BE7ED1" w:rsidRPr="0054645F">
        <w:rPr>
          <w:sz w:val="28"/>
          <w:szCs w:val="28"/>
        </w:rPr>
        <w:t xml:space="preserve">development and transfer projects </w:t>
      </w:r>
      <w:r w:rsidR="00757E43" w:rsidRPr="0054645F">
        <w:rPr>
          <w:sz w:val="28"/>
          <w:szCs w:val="28"/>
        </w:rPr>
        <w:t xml:space="preserve">– </w:t>
      </w:r>
      <w:r w:rsidR="00BE7ED1" w:rsidRPr="0054645F">
        <w:rPr>
          <w:sz w:val="28"/>
          <w:szCs w:val="28"/>
        </w:rPr>
        <w:t>or</w:t>
      </w:r>
      <w:r w:rsidR="00757E43" w:rsidRPr="0054645F">
        <w:rPr>
          <w:sz w:val="28"/>
          <w:szCs w:val="28"/>
        </w:rPr>
        <w:t>,</w:t>
      </w:r>
      <w:r w:rsidR="00BE7ED1" w:rsidRPr="0054645F">
        <w:rPr>
          <w:sz w:val="28"/>
          <w:szCs w:val="28"/>
        </w:rPr>
        <w:t xml:space="preserve"> the KT4TT processes. </w:t>
      </w:r>
      <w:r w:rsidR="000975A7" w:rsidRPr="0054645F">
        <w:rPr>
          <w:sz w:val="28"/>
          <w:szCs w:val="28"/>
        </w:rPr>
        <w:t>It is the Need-to-Knowledge, o</w:t>
      </w:r>
      <w:r w:rsidR="00BE7ED1" w:rsidRPr="0054645F">
        <w:rPr>
          <w:sz w:val="28"/>
          <w:szCs w:val="28"/>
        </w:rPr>
        <w:t xml:space="preserve">r, the NtK model. </w:t>
      </w:r>
    </w:p>
    <w:p w:rsidR="00CC4108" w:rsidRPr="0054645F" w:rsidRDefault="00CC4108" w:rsidP="00DE02FD">
      <w:pPr>
        <w:rPr>
          <w:b/>
          <w:sz w:val="28"/>
          <w:szCs w:val="28"/>
        </w:rPr>
      </w:pPr>
    </w:p>
    <w:p w:rsidR="005C6D73" w:rsidRPr="0054645F" w:rsidRDefault="00CC4108" w:rsidP="0070355C">
      <w:pPr>
        <w:pStyle w:val="Heading1"/>
      </w:pPr>
      <w:r w:rsidRPr="0054645F">
        <w:t xml:space="preserve">The Need-to-Knowledge Model: </w:t>
      </w:r>
      <w:r w:rsidR="00DF399F" w:rsidRPr="0054645F">
        <w:t>T</w:t>
      </w:r>
      <w:r w:rsidR="005C6D73" w:rsidRPr="0054645F">
        <w:t>hree Methods generate three S</w:t>
      </w:r>
      <w:r w:rsidR="00DF399F" w:rsidRPr="0054645F">
        <w:t xml:space="preserve">tates of Knowledge </w:t>
      </w:r>
      <w:r w:rsidR="005C6D73" w:rsidRPr="0054645F">
        <w:t xml:space="preserve">(Lane &amp; Flagg,2010) </w:t>
      </w:r>
    </w:p>
    <w:p w:rsidR="00CC4108" w:rsidRPr="0054645F" w:rsidRDefault="005C6D73" w:rsidP="0070355C">
      <w:pPr>
        <w:pStyle w:val="Heading1"/>
      </w:pPr>
      <w:r w:rsidRPr="0054645F">
        <w:t>(</w:t>
      </w:r>
      <w:r w:rsidR="00CC4108" w:rsidRPr="0054645F">
        <w:t>Slide 3)</w:t>
      </w:r>
    </w:p>
    <w:p w:rsidR="008F578C" w:rsidRPr="0054645F" w:rsidRDefault="008F578C" w:rsidP="008F578C">
      <w:pPr>
        <w:jc w:val="center"/>
        <w:rPr>
          <w:b/>
          <w:sz w:val="28"/>
          <w:szCs w:val="28"/>
        </w:rPr>
      </w:pPr>
    </w:p>
    <w:p w:rsidR="008F24CB" w:rsidRPr="0054645F" w:rsidRDefault="00BE7ED1" w:rsidP="00DE02FD">
      <w:pPr>
        <w:rPr>
          <w:sz w:val="28"/>
          <w:szCs w:val="28"/>
        </w:rPr>
      </w:pPr>
      <w:r w:rsidRPr="002901C4">
        <w:rPr>
          <w:sz w:val="28"/>
          <w:szCs w:val="28"/>
        </w:rPr>
        <w:t xml:space="preserve">It is an evidence based framework </w:t>
      </w:r>
      <w:r w:rsidR="008F24CB" w:rsidRPr="002901C4">
        <w:rPr>
          <w:sz w:val="28"/>
          <w:szCs w:val="28"/>
        </w:rPr>
        <w:t xml:space="preserve">consisting of Best practices in product development </w:t>
      </w:r>
      <w:r w:rsidRPr="002901C4">
        <w:rPr>
          <w:sz w:val="28"/>
          <w:szCs w:val="28"/>
        </w:rPr>
        <w:t>supported by an extensive scoping literature review</w:t>
      </w:r>
      <w:r w:rsidR="008F24CB" w:rsidRPr="002901C4">
        <w:rPr>
          <w:sz w:val="28"/>
          <w:szCs w:val="28"/>
        </w:rPr>
        <w:t xml:space="preserve"> we did in our last grant cycle.</w:t>
      </w:r>
      <w:r w:rsidRPr="002901C4">
        <w:rPr>
          <w:sz w:val="28"/>
          <w:szCs w:val="28"/>
        </w:rPr>
        <w:t xml:space="preserve"> </w:t>
      </w:r>
      <w:r w:rsidR="00C745E5" w:rsidRPr="002901C4">
        <w:rPr>
          <w:sz w:val="28"/>
          <w:szCs w:val="28"/>
        </w:rPr>
        <w:t>Please refer to the handout Fig. 2 for a</w:t>
      </w:r>
      <w:r w:rsidR="008F24CB" w:rsidRPr="002901C4">
        <w:rPr>
          <w:sz w:val="28"/>
          <w:szCs w:val="28"/>
        </w:rPr>
        <w:t xml:space="preserve"> summary view. </w:t>
      </w:r>
      <w:r w:rsidR="00DF399F" w:rsidRPr="002901C4">
        <w:rPr>
          <w:sz w:val="28"/>
          <w:szCs w:val="28"/>
        </w:rPr>
        <w:t xml:space="preserve">It is based on the premise that product innovation involves </w:t>
      </w:r>
      <w:r w:rsidR="00084E6F" w:rsidRPr="002901C4">
        <w:rPr>
          <w:sz w:val="28"/>
          <w:szCs w:val="28"/>
        </w:rPr>
        <w:t xml:space="preserve">(a) generating </w:t>
      </w:r>
      <w:r w:rsidR="001547D2" w:rsidRPr="002901C4">
        <w:rPr>
          <w:sz w:val="28"/>
          <w:szCs w:val="28"/>
        </w:rPr>
        <w:t>a Discovery (</w:t>
      </w:r>
      <w:r w:rsidR="000975A7" w:rsidRPr="002901C4">
        <w:rPr>
          <w:sz w:val="28"/>
          <w:szCs w:val="28"/>
        </w:rPr>
        <w:t xml:space="preserve">i.e., </w:t>
      </w:r>
      <w:r w:rsidR="001547D2" w:rsidRPr="002901C4">
        <w:rPr>
          <w:sz w:val="28"/>
          <w:szCs w:val="28"/>
        </w:rPr>
        <w:t xml:space="preserve">knowledge in </w:t>
      </w:r>
      <w:r w:rsidR="00D10756" w:rsidRPr="002901C4">
        <w:rPr>
          <w:sz w:val="28"/>
          <w:szCs w:val="28"/>
        </w:rPr>
        <w:t xml:space="preserve">a </w:t>
      </w:r>
      <w:r w:rsidR="00DF399F" w:rsidRPr="002901C4">
        <w:rPr>
          <w:i/>
          <w:sz w:val="28"/>
          <w:szCs w:val="28"/>
        </w:rPr>
        <w:t>conceptual</w:t>
      </w:r>
      <w:r w:rsidR="00DF399F" w:rsidRPr="002901C4">
        <w:rPr>
          <w:sz w:val="28"/>
          <w:szCs w:val="28"/>
        </w:rPr>
        <w:t xml:space="preserve"> </w:t>
      </w:r>
      <w:r w:rsidR="00084E6F" w:rsidRPr="002901C4">
        <w:rPr>
          <w:sz w:val="28"/>
          <w:szCs w:val="28"/>
        </w:rPr>
        <w:t>state</w:t>
      </w:r>
      <w:r w:rsidR="001547D2" w:rsidRPr="002901C4">
        <w:rPr>
          <w:sz w:val="28"/>
          <w:szCs w:val="28"/>
        </w:rPr>
        <w:t xml:space="preserve">) </w:t>
      </w:r>
      <w:r w:rsidR="005C6D73" w:rsidRPr="002901C4">
        <w:rPr>
          <w:sz w:val="28"/>
          <w:szCs w:val="28"/>
        </w:rPr>
        <w:t xml:space="preserve">using </w:t>
      </w:r>
      <w:r w:rsidR="001547D2" w:rsidRPr="002901C4">
        <w:rPr>
          <w:sz w:val="28"/>
          <w:szCs w:val="28"/>
        </w:rPr>
        <w:t>the Scientific Research method;</w:t>
      </w:r>
      <w:r w:rsidR="00084E6F" w:rsidRPr="002901C4">
        <w:rPr>
          <w:sz w:val="28"/>
          <w:szCs w:val="28"/>
        </w:rPr>
        <w:t xml:space="preserve"> then (b) transforming </w:t>
      </w:r>
      <w:r w:rsidR="00D10756" w:rsidRPr="002901C4">
        <w:rPr>
          <w:sz w:val="28"/>
          <w:szCs w:val="28"/>
        </w:rPr>
        <w:t xml:space="preserve">the discovery </w:t>
      </w:r>
      <w:r w:rsidR="00084E6F" w:rsidRPr="002901C4">
        <w:rPr>
          <w:sz w:val="28"/>
          <w:szCs w:val="28"/>
        </w:rPr>
        <w:t xml:space="preserve">into </w:t>
      </w:r>
      <w:r w:rsidR="001547D2" w:rsidRPr="002901C4">
        <w:rPr>
          <w:sz w:val="28"/>
          <w:szCs w:val="28"/>
        </w:rPr>
        <w:t>an Invention (</w:t>
      </w:r>
      <w:r w:rsidR="000975A7" w:rsidRPr="002901C4">
        <w:rPr>
          <w:sz w:val="28"/>
          <w:szCs w:val="28"/>
        </w:rPr>
        <w:t xml:space="preserve">i.e., </w:t>
      </w:r>
      <w:r w:rsidR="001547D2" w:rsidRPr="002901C4">
        <w:rPr>
          <w:sz w:val="28"/>
          <w:szCs w:val="28"/>
        </w:rPr>
        <w:lastRenderedPageBreak/>
        <w:t xml:space="preserve">knowledge in </w:t>
      </w:r>
      <w:r w:rsidR="00D10756" w:rsidRPr="002901C4">
        <w:rPr>
          <w:sz w:val="28"/>
          <w:szCs w:val="28"/>
        </w:rPr>
        <w:t xml:space="preserve">a </w:t>
      </w:r>
      <w:r w:rsidR="00084E6F" w:rsidRPr="002901C4">
        <w:rPr>
          <w:i/>
          <w:sz w:val="28"/>
          <w:szCs w:val="28"/>
        </w:rPr>
        <w:t>prototype</w:t>
      </w:r>
      <w:r w:rsidR="00084E6F" w:rsidRPr="002901C4">
        <w:rPr>
          <w:sz w:val="28"/>
          <w:szCs w:val="28"/>
        </w:rPr>
        <w:t xml:space="preserve"> state</w:t>
      </w:r>
      <w:r w:rsidR="001547D2" w:rsidRPr="002901C4">
        <w:rPr>
          <w:sz w:val="28"/>
          <w:szCs w:val="28"/>
        </w:rPr>
        <w:t xml:space="preserve">) </w:t>
      </w:r>
      <w:r w:rsidR="005C6D73" w:rsidRPr="002901C4">
        <w:rPr>
          <w:sz w:val="28"/>
          <w:szCs w:val="28"/>
        </w:rPr>
        <w:t>using t</w:t>
      </w:r>
      <w:r w:rsidR="00084E6F" w:rsidRPr="002901C4">
        <w:rPr>
          <w:sz w:val="28"/>
          <w:szCs w:val="28"/>
        </w:rPr>
        <w:t>he Engineering Development method</w:t>
      </w:r>
      <w:r w:rsidR="001547D2" w:rsidRPr="002901C4">
        <w:rPr>
          <w:sz w:val="28"/>
          <w:szCs w:val="28"/>
        </w:rPr>
        <w:t>;</w:t>
      </w:r>
      <w:r w:rsidR="00084E6F" w:rsidRPr="002901C4">
        <w:rPr>
          <w:sz w:val="28"/>
          <w:szCs w:val="28"/>
        </w:rPr>
        <w:t xml:space="preserve"> and (c) transferring it to industry stakeholders </w:t>
      </w:r>
      <w:r w:rsidR="005C6D73" w:rsidRPr="002901C4">
        <w:rPr>
          <w:sz w:val="28"/>
          <w:szCs w:val="28"/>
        </w:rPr>
        <w:t xml:space="preserve">who </w:t>
      </w:r>
      <w:r w:rsidR="001547D2" w:rsidRPr="002901C4">
        <w:rPr>
          <w:sz w:val="28"/>
          <w:szCs w:val="28"/>
        </w:rPr>
        <w:t>us</w:t>
      </w:r>
      <w:r w:rsidR="00D10756" w:rsidRPr="002901C4">
        <w:rPr>
          <w:sz w:val="28"/>
          <w:szCs w:val="28"/>
        </w:rPr>
        <w:t xml:space="preserve">e </w:t>
      </w:r>
      <w:r w:rsidR="001547D2" w:rsidRPr="002901C4">
        <w:rPr>
          <w:sz w:val="28"/>
          <w:szCs w:val="28"/>
        </w:rPr>
        <w:t>the Industrial Production method to solidify the invention into an Innovation (</w:t>
      </w:r>
      <w:r w:rsidR="000975A7" w:rsidRPr="002901C4">
        <w:rPr>
          <w:sz w:val="28"/>
          <w:szCs w:val="28"/>
        </w:rPr>
        <w:t xml:space="preserve">i.e., </w:t>
      </w:r>
      <w:r w:rsidR="001547D2" w:rsidRPr="002901C4">
        <w:rPr>
          <w:sz w:val="28"/>
          <w:szCs w:val="28"/>
        </w:rPr>
        <w:t xml:space="preserve">knowledge in </w:t>
      </w:r>
      <w:r w:rsidR="00D10756" w:rsidRPr="002901C4">
        <w:rPr>
          <w:sz w:val="28"/>
          <w:szCs w:val="28"/>
        </w:rPr>
        <w:t xml:space="preserve">a </w:t>
      </w:r>
      <w:r w:rsidR="00084E6F" w:rsidRPr="002901C4">
        <w:rPr>
          <w:i/>
          <w:sz w:val="28"/>
          <w:szCs w:val="28"/>
        </w:rPr>
        <w:t>product</w:t>
      </w:r>
      <w:r w:rsidR="00084E6F" w:rsidRPr="002901C4">
        <w:rPr>
          <w:sz w:val="28"/>
          <w:szCs w:val="28"/>
        </w:rPr>
        <w:t xml:space="preserve"> state</w:t>
      </w:r>
      <w:r w:rsidR="001547D2" w:rsidRPr="002901C4">
        <w:rPr>
          <w:sz w:val="28"/>
          <w:szCs w:val="28"/>
        </w:rPr>
        <w:t>)</w:t>
      </w:r>
      <w:r w:rsidR="000975A7" w:rsidRPr="002901C4">
        <w:rPr>
          <w:sz w:val="28"/>
          <w:szCs w:val="28"/>
        </w:rPr>
        <w:t xml:space="preserve"> </w:t>
      </w:r>
      <w:r w:rsidR="00D10756" w:rsidRPr="002901C4">
        <w:rPr>
          <w:sz w:val="28"/>
          <w:szCs w:val="28"/>
        </w:rPr>
        <w:t xml:space="preserve">and </w:t>
      </w:r>
      <w:r w:rsidR="000975A7" w:rsidRPr="002901C4">
        <w:rPr>
          <w:sz w:val="28"/>
          <w:szCs w:val="28"/>
        </w:rPr>
        <w:t>to transact their way to market.</w:t>
      </w:r>
    </w:p>
    <w:p w:rsidR="005C6D73" w:rsidRPr="0054645F" w:rsidRDefault="005C6D73" w:rsidP="00DE02FD">
      <w:pPr>
        <w:rPr>
          <w:sz w:val="28"/>
          <w:szCs w:val="28"/>
        </w:rPr>
      </w:pPr>
    </w:p>
    <w:p w:rsidR="008F24CB" w:rsidRPr="0054645F" w:rsidRDefault="005C6D73" w:rsidP="00DE02FD">
      <w:pPr>
        <w:rPr>
          <w:sz w:val="28"/>
          <w:szCs w:val="28"/>
        </w:rPr>
      </w:pPr>
      <w:r w:rsidRPr="0054645F">
        <w:rPr>
          <w:sz w:val="28"/>
          <w:szCs w:val="28"/>
        </w:rPr>
        <w:t xml:space="preserve">Operationally speaking, the </w:t>
      </w:r>
      <w:r w:rsidR="008F24CB" w:rsidRPr="0054645F">
        <w:rPr>
          <w:sz w:val="28"/>
          <w:szCs w:val="28"/>
        </w:rPr>
        <w:t xml:space="preserve">model offers a guide through a sequence of Best Practices that </w:t>
      </w:r>
      <w:r w:rsidR="000771BF" w:rsidRPr="0054645F">
        <w:rPr>
          <w:sz w:val="28"/>
          <w:szCs w:val="28"/>
        </w:rPr>
        <w:t>cover 3 phases R, D, P – research, development and production.</w:t>
      </w:r>
      <w:r w:rsidR="008F24CB" w:rsidRPr="0054645F">
        <w:rPr>
          <w:sz w:val="28"/>
          <w:szCs w:val="28"/>
        </w:rPr>
        <w:t xml:space="preserve"> I re-iterate that </w:t>
      </w:r>
      <w:r w:rsidR="00C7117C" w:rsidRPr="0054645F">
        <w:rPr>
          <w:sz w:val="28"/>
          <w:szCs w:val="28"/>
        </w:rPr>
        <w:t>Te</w:t>
      </w:r>
      <w:r w:rsidR="000771BF" w:rsidRPr="0054645F">
        <w:rPr>
          <w:sz w:val="28"/>
          <w:szCs w:val="28"/>
        </w:rPr>
        <w:t>chnol</w:t>
      </w:r>
      <w:r w:rsidR="00CF0168" w:rsidRPr="0054645F">
        <w:rPr>
          <w:sz w:val="28"/>
          <w:szCs w:val="28"/>
        </w:rPr>
        <w:t>o</w:t>
      </w:r>
      <w:r w:rsidR="000771BF" w:rsidRPr="0054645F">
        <w:rPr>
          <w:sz w:val="28"/>
          <w:szCs w:val="28"/>
        </w:rPr>
        <w:t xml:space="preserve">gy </w:t>
      </w:r>
      <w:r w:rsidR="00A33574">
        <w:rPr>
          <w:sz w:val="28"/>
          <w:szCs w:val="28"/>
        </w:rPr>
        <w:t>T</w:t>
      </w:r>
      <w:r w:rsidR="000771BF" w:rsidRPr="0054645F">
        <w:rPr>
          <w:sz w:val="28"/>
          <w:szCs w:val="28"/>
        </w:rPr>
        <w:t>ransfe</w:t>
      </w:r>
      <w:r w:rsidR="008F24CB" w:rsidRPr="0054645F">
        <w:rPr>
          <w:sz w:val="28"/>
          <w:szCs w:val="28"/>
        </w:rPr>
        <w:t>r (TT) takes place between the D and P phases T</w:t>
      </w:r>
      <w:r w:rsidR="000771BF" w:rsidRPr="0054645F">
        <w:rPr>
          <w:sz w:val="28"/>
          <w:szCs w:val="28"/>
        </w:rPr>
        <w:t>he Knowledge-to-action or KtA processes</w:t>
      </w:r>
      <w:r w:rsidRPr="0054645F">
        <w:rPr>
          <w:sz w:val="28"/>
          <w:szCs w:val="28"/>
        </w:rPr>
        <w:t xml:space="preserve"> shown in the figure are the </w:t>
      </w:r>
      <w:r w:rsidR="008F24CB" w:rsidRPr="0054645F">
        <w:rPr>
          <w:sz w:val="28"/>
          <w:szCs w:val="28"/>
        </w:rPr>
        <w:t xml:space="preserve">activities channeling the </w:t>
      </w:r>
      <w:r w:rsidR="000771BF" w:rsidRPr="0054645F">
        <w:rPr>
          <w:sz w:val="28"/>
          <w:szCs w:val="28"/>
        </w:rPr>
        <w:t xml:space="preserve">project outputs </w:t>
      </w:r>
      <w:r w:rsidRPr="0054645F">
        <w:rPr>
          <w:sz w:val="28"/>
          <w:szCs w:val="28"/>
        </w:rPr>
        <w:t>horizontally-</w:t>
      </w:r>
      <w:r w:rsidR="000771BF" w:rsidRPr="0054645F">
        <w:rPr>
          <w:sz w:val="28"/>
          <w:szCs w:val="28"/>
        </w:rPr>
        <w:t>to othe</w:t>
      </w:r>
      <w:r w:rsidR="00C7117C" w:rsidRPr="0054645F">
        <w:rPr>
          <w:sz w:val="28"/>
          <w:szCs w:val="28"/>
        </w:rPr>
        <w:t>r</w:t>
      </w:r>
      <w:r w:rsidR="000771BF" w:rsidRPr="0054645F">
        <w:rPr>
          <w:sz w:val="28"/>
          <w:szCs w:val="28"/>
        </w:rPr>
        <w:t xml:space="preserve"> stakeholders for further translation</w:t>
      </w:r>
      <w:r w:rsidRPr="0054645F">
        <w:rPr>
          <w:sz w:val="28"/>
          <w:szCs w:val="28"/>
        </w:rPr>
        <w:t xml:space="preserve"> </w:t>
      </w:r>
      <w:r w:rsidR="000771BF" w:rsidRPr="0054645F">
        <w:rPr>
          <w:sz w:val="28"/>
          <w:szCs w:val="28"/>
        </w:rPr>
        <w:t xml:space="preserve">towards the beneficiaries. </w:t>
      </w:r>
    </w:p>
    <w:p w:rsidR="00161A14" w:rsidRPr="0054645F" w:rsidRDefault="008F24CB" w:rsidP="00DE02FD">
      <w:pPr>
        <w:rPr>
          <w:sz w:val="28"/>
          <w:szCs w:val="28"/>
        </w:rPr>
      </w:pPr>
      <w:r w:rsidRPr="0054645F">
        <w:rPr>
          <w:sz w:val="28"/>
          <w:szCs w:val="28"/>
        </w:rPr>
        <w:t xml:space="preserve">Note that the model </w:t>
      </w:r>
      <w:r w:rsidR="000771BF" w:rsidRPr="0054645F">
        <w:rPr>
          <w:sz w:val="28"/>
          <w:szCs w:val="28"/>
        </w:rPr>
        <w:t xml:space="preserve">begins with a step to verify the need for the knowledge itself. The idea is to build relevance </w:t>
      </w:r>
      <w:r w:rsidRPr="0054645F">
        <w:rPr>
          <w:sz w:val="28"/>
          <w:szCs w:val="28"/>
        </w:rPr>
        <w:t xml:space="preserve">(value) </w:t>
      </w:r>
      <w:r w:rsidR="00C7117C" w:rsidRPr="0054645F">
        <w:rPr>
          <w:sz w:val="28"/>
          <w:szCs w:val="28"/>
        </w:rPr>
        <w:t xml:space="preserve">into the Knowledge </w:t>
      </w:r>
      <w:r w:rsidR="000771BF" w:rsidRPr="0054645F">
        <w:rPr>
          <w:sz w:val="28"/>
          <w:szCs w:val="28"/>
        </w:rPr>
        <w:t xml:space="preserve">early on so it increases the likelihood of the knowledge being uptaken by stakeholders going forward. </w:t>
      </w:r>
    </w:p>
    <w:p w:rsidR="008D75C1" w:rsidRPr="0054645F" w:rsidRDefault="008D75C1" w:rsidP="00DE02FD">
      <w:pPr>
        <w:rPr>
          <w:sz w:val="28"/>
          <w:szCs w:val="28"/>
        </w:rPr>
      </w:pPr>
    </w:p>
    <w:p w:rsidR="003E2887" w:rsidRPr="0054645F" w:rsidRDefault="00E37DDC" w:rsidP="0070355C">
      <w:pPr>
        <w:pStyle w:val="Heading1"/>
      </w:pPr>
      <w:bookmarkStart w:id="0" w:name="_GoBack"/>
      <w:r w:rsidRPr="0054645F">
        <w:t>The Need-to-Knowledge Model</w:t>
      </w:r>
      <w:r w:rsidR="005C6D73" w:rsidRPr="0054645F">
        <w:t xml:space="preserve">: An Operational Guide to KT for TT </w:t>
      </w:r>
      <w:r w:rsidRPr="0054645F">
        <w:t>(</w:t>
      </w:r>
      <w:r w:rsidR="003E2887" w:rsidRPr="0054645F">
        <w:t xml:space="preserve">Flagg, Lane &amp; Lockett, 2013) </w:t>
      </w:r>
    </w:p>
    <w:p w:rsidR="00E37DDC" w:rsidRPr="0054645F" w:rsidRDefault="003E2887" w:rsidP="0070355C">
      <w:pPr>
        <w:pStyle w:val="Heading1"/>
      </w:pPr>
      <w:r w:rsidRPr="0054645F">
        <w:t>(</w:t>
      </w:r>
      <w:r w:rsidR="00E37DDC" w:rsidRPr="0054645F">
        <w:t>Slide 4)</w:t>
      </w:r>
    </w:p>
    <w:bookmarkEnd w:id="0"/>
    <w:p w:rsidR="00E37DDC" w:rsidRPr="0054645F" w:rsidRDefault="00E37DDC" w:rsidP="00DE02FD">
      <w:pPr>
        <w:rPr>
          <w:sz w:val="28"/>
          <w:szCs w:val="28"/>
        </w:rPr>
      </w:pPr>
    </w:p>
    <w:p w:rsidR="00E37DDC" w:rsidRPr="0054645F" w:rsidRDefault="008F24CB" w:rsidP="00DE02FD">
      <w:pPr>
        <w:rPr>
          <w:sz w:val="28"/>
          <w:szCs w:val="28"/>
        </w:rPr>
      </w:pPr>
      <w:r w:rsidRPr="0054645F">
        <w:rPr>
          <w:sz w:val="28"/>
          <w:szCs w:val="28"/>
        </w:rPr>
        <w:t>As you will see on our website</w:t>
      </w:r>
      <w:r w:rsidR="003E2887" w:rsidRPr="0054645F">
        <w:rPr>
          <w:sz w:val="28"/>
          <w:szCs w:val="28"/>
        </w:rPr>
        <w:t xml:space="preserve"> following th</w:t>
      </w:r>
      <w:r w:rsidR="00D10756" w:rsidRPr="0054645F">
        <w:rPr>
          <w:sz w:val="28"/>
          <w:szCs w:val="28"/>
        </w:rPr>
        <w:t xml:space="preserve">e </w:t>
      </w:r>
      <w:r w:rsidR="003E2887" w:rsidRPr="0054645F">
        <w:rPr>
          <w:sz w:val="28"/>
          <w:szCs w:val="28"/>
        </w:rPr>
        <w:t>hyperlink</w:t>
      </w:r>
      <w:r w:rsidR="00D10756" w:rsidRPr="0054645F">
        <w:rPr>
          <w:sz w:val="28"/>
          <w:szCs w:val="28"/>
        </w:rPr>
        <w:t xml:space="preserve"> on this slide</w:t>
      </w:r>
      <w:r w:rsidR="003E2887" w:rsidRPr="0054645F">
        <w:rPr>
          <w:sz w:val="28"/>
          <w:szCs w:val="28"/>
        </w:rPr>
        <w:t>,</w:t>
      </w:r>
      <w:r w:rsidRPr="0054645F">
        <w:rPr>
          <w:sz w:val="28"/>
          <w:szCs w:val="28"/>
        </w:rPr>
        <w:t xml:space="preserve"> </w:t>
      </w:r>
      <w:r w:rsidR="008D75C1" w:rsidRPr="0054645F">
        <w:rPr>
          <w:sz w:val="28"/>
          <w:szCs w:val="28"/>
        </w:rPr>
        <w:t>the R,</w:t>
      </w:r>
      <w:r w:rsidR="008F578C" w:rsidRPr="0054645F">
        <w:rPr>
          <w:sz w:val="28"/>
          <w:szCs w:val="28"/>
        </w:rPr>
        <w:t xml:space="preserve"> </w:t>
      </w:r>
      <w:r w:rsidR="008D75C1" w:rsidRPr="0054645F">
        <w:rPr>
          <w:sz w:val="28"/>
          <w:szCs w:val="28"/>
        </w:rPr>
        <w:t>D, P phase</w:t>
      </w:r>
      <w:r w:rsidR="00D10756" w:rsidRPr="0054645F">
        <w:rPr>
          <w:sz w:val="28"/>
          <w:szCs w:val="28"/>
        </w:rPr>
        <w:t>s are further broken down into S</w:t>
      </w:r>
      <w:r w:rsidR="008D75C1" w:rsidRPr="0054645F">
        <w:rPr>
          <w:sz w:val="28"/>
          <w:szCs w:val="28"/>
        </w:rPr>
        <w:t xml:space="preserve">tages, </w:t>
      </w:r>
      <w:r w:rsidR="00D10756" w:rsidRPr="0054645F">
        <w:rPr>
          <w:sz w:val="28"/>
          <w:szCs w:val="28"/>
        </w:rPr>
        <w:t>Steps and G</w:t>
      </w:r>
      <w:r w:rsidR="008D75C1" w:rsidRPr="0054645F">
        <w:rPr>
          <w:sz w:val="28"/>
          <w:szCs w:val="28"/>
        </w:rPr>
        <w:t xml:space="preserve">ates. </w:t>
      </w:r>
      <w:r w:rsidR="00E37DDC" w:rsidRPr="0054645F">
        <w:rPr>
          <w:sz w:val="28"/>
          <w:szCs w:val="28"/>
        </w:rPr>
        <w:t xml:space="preserve">The </w:t>
      </w:r>
      <w:r w:rsidR="00D10756" w:rsidRPr="0054645F">
        <w:rPr>
          <w:sz w:val="28"/>
          <w:szCs w:val="28"/>
        </w:rPr>
        <w:t xml:space="preserve">steps are activities grouped under stages, and the </w:t>
      </w:r>
      <w:r w:rsidR="00E37DDC" w:rsidRPr="0054645F">
        <w:rPr>
          <w:sz w:val="28"/>
          <w:szCs w:val="28"/>
        </w:rPr>
        <w:t xml:space="preserve">gates are filters – they are check points </w:t>
      </w:r>
      <w:r w:rsidR="003E2887" w:rsidRPr="0054645F">
        <w:rPr>
          <w:sz w:val="28"/>
          <w:szCs w:val="28"/>
        </w:rPr>
        <w:t xml:space="preserve">in the process </w:t>
      </w:r>
      <w:r w:rsidR="00E37DDC" w:rsidRPr="0054645F">
        <w:rPr>
          <w:sz w:val="28"/>
          <w:szCs w:val="28"/>
        </w:rPr>
        <w:t xml:space="preserve">to decide whether to proceed further or to go back and improve previous steps. </w:t>
      </w:r>
    </w:p>
    <w:p w:rsidR="003E2887" w:rsidRPr="0054645F" w:rsidRDefault="003E2887" w:rsidP="00DE02FD">
      <w:pPr>
        <w:rPr>
          <w:sz w:val="28"/>
          <w:szCs w:val="28"/>
        </w:rPr>
      </w:pPr>
    </w:p>
    <w:p w:rsidR="003E2887" w:rsidRPr="0054645F" w:rsidRDefault="003E2887" w:rsidP="00DE02FD">
      <w:pPr>
        <w:rPr>
          <w:sz w:val="28"/>
          <w:szCs w:val="28"/>
        </w:rPr>
      </w:pPr>
      <w:r w:rsidRPr="0054645F">
        <w:rPr>
          <w:sz w:val="28"/>
          <w:szCs w:val="28"/>
        </w:rPr>
        <w:t xml:space="preserve">The NtK model plays two important roles in the management of the KT for TT process. </w:t>
      </w:r>
    </w:p>
    <w:p w:rsidR="00E37DDC" w:rsidRPr="0054645F" w:rsidRDefault="003E2887" w:rsidP="00DE02FD">
      <w:pPr>
        <w:rPr>
          <w:sz w:val="28"/>
          <w:szCs w:val="28"/>
        </w:rPr>
      </w:pPr>
      <w:r w:rsidRPr="0054645F">
        <w:rPr>
          <w:sz w:val="28"/>
          <w:szCs w:val="28"/>
        </w:rPr>
        <w:t>First, b</w:t>
      </w:r>
      <w:r w:rsidR="00E37DDC" w:rsidRPr="0054645F">
        <w:rPr>
          <w:sz w:val="28"/>
          <w:szCs w:val="28"/>
        </w:rPr>
        <w:t xml:space="preserve">ecause the </w:t>
      </w:r>
      <w:r w:rsidR="008D75C1" w:rsidRPr="0054645F">
        <w:rPr>
          <w:sz w:val="28"/>
          <w:szCs w:val="28"/>
        </w:rPr>
        <w:t xml:space="preserve">NtK framework </w:t>
      </w:r>
      <w:r w:rsidR="00E37DDC" w:rsidRPr="0054645F">
        <w:rPr>
          <w:sz w:val="28"/>
          <w:szCs w:val="28"/>
        </w:rPr>
        <w:t xml:space="preserve">has been operationalized </w:t>
      </w:r>
      <w:r w:rsidR="00757E43" w:rsidRPr="0054645F">
        <w:rPr>
          <w:sz w:val="28"/>
          <w:szCs w:val="28"/>
        </w:rPr>
        <w:t xml:space="preserve">to </w:t>
      </w:r>
      <w:r w:rsidR="00E37DDC" w:rsidRPr="0054645F">
        <w:rPr>
          <w:sz w:val="28"/>
          <w:szCs w:val="28"/>
        </w:rPr>
        <w:t xml:space="preserve">such a detailed level, </w:t>
      </w:r>
      <w:r w:rsidR="00757E43" w:rsidRPr="0054645F">
        <w:rPr>
          <w:sz w:val="28"/>
          <w:szCs w:val="28"/>
        </w:rPr>
        <w:t xml:space="preserve">including </w:t>
      </w:r>
      <w:r w:rsidR="00E37DDC" w:rsidRPr="0054645F">
        <w:rPr>
          <w:sz w:val="28"/>
          <w:szCs w:val="28"/>
        </w:rPr>
        <w:t xml:space="preserve">tools and resources indicated, it makes it </w:t>
      </w:r>
      <w:r w:rsidR="008D75C1" w:rsidRPr="0054645F">
        <w:rPr>
          <w:sz w:val="28"/>
          <w:szCs w:val="28"/>
        </w:rPr>
        <w:t xml:space="preserve">useful as a tool to </w:t>
      </w:r>
      <w:r w:rsidR="008D75C1" w:rsidRPr="0054645F">
        <w:rPr>
          <w:b/>
          <w:i/>
          <w:sz w:val="28"/>
          <w:szCs w:val="28"/>
        </w:rPr>
        <w:t xml:space="preserve">plan </w:t>
      </w:r>
      <w:r w:rsidR="008D75C1" w:rsidRPr="0054645F">
        <w:rPr>
          <w:sz w:val="28"/>
          <w:szCs w:val="28"/>
        </w:rPr>
        <w:t xml:space="preserve">technology transfer. In </w:t>
      </w:r>
      <w:r w:rsidR="00E37DDC" w:rsidRPr="0054645F">
        <w:rPr>
          <w:sz w:val="28"/>
          <w:szCs w:val="28"/>
        </w:rPr>
        <w:t>fact,</w:t>
      </w:r>
      <w:r w:rsidR="008D75C1" w:rsidRPr="0054645F">
        <w:rPr>
          <w:sz w:val="28"/>
          <w:szCs w:val="28"/>
        </w:rPr>
        <w:t xml:space="preserve"> our center has developed a </w:t>
      </w:r>
      <w:r w:rsidR="00E37DDC" w:rsidRPr="0054645F">
        <w:rPr>
          <w:sz w:val="28"/>
          <w:szCs w:val="28"/>
        </w:rPr>
        <w:t xml:space="preserve">Technology Transfer Planning Template (TTPT). </w:t>
      </w:r>
      <w:r w:rsidR="008D75C1" w:rsidRPr="0054645F">
        <w:rPr>
          <w:sz w:val="28"/>
          <w:szCs w:val="28"/>
        </w:rPr>
        <w:t xml:space="preserve">You can </w:t>
      </w:r>
      <w:r w:rsidR="00E37DDC" w:rsidRPr="0054645F">
        <w:rPr>
          <w:sz w:val="28"/>
          <w:szCs w:val="28"/>
        </w:rPr>
        <w:t xml:space="preserve">also </w:t>
      </w:r>
      <w:r w:rsidR="00CC7801" w:rsidRPr="0054645F">
        <w:rPr>
          <w:sz w:val="28"/>
          <w:szCs w:val="28"/>
        </w:rPr>
        <w:t>view</w:t>
      </w:r>
      <w:r w:rsidR="00E37DDC" w:rsidRPr="0054645F">
        <w:rPr>
          <w:sz w:val="28"/>
          <w:szCs w:val="28"/>
        </w:rPr>
        <w:t xml:space="preserve"> it on our website following th</w:t>
      </w:r>
      <w:r w:rsidR="00757E43" w:rsidRPr="0054645F">
        <w:rPr>
          <w:sz w:val="28"/>
          <w:szCs w:val="28"/>
        </w:rPr>
        <w:t xml:space="preserve">e </w:t>
      </w:r>
      <w:r w:rsidR="00E37DDC" w:rsidRPr="0054645F">
        <w:rPr>
          <w:sz w:val="28"/>
          <w:szCs w:val="28"/>
        </w:rPr>
        <w:t>link</w:t>
      </w:r>
      <w:r w:rsidR="00757E43" w:rsidRPr="0054645F">
        <w:rPr>
          <w:sz w:val="28"/>
          <w:szCs w:val="28"/>
        </w:rPr>
        <w:t xml:space="preserve"> you see on the slide</w:t>
      </w:r>
      <w:r w:rsidR="00D1793D">
        <w:rPr>
          <w:sz w:val="28"/>
          <w:szCs w:val="28"/>
        </w:rPr>
        <w:t>.</w:t>
      </w:r>
    </w:p>
    <w:p w:rsidR="00E37DDC" w:rsidRPr="0054645F" w:rsidRDefault="00E37DDC" w:rsidP="00DE02FD">
      <w:pPr>
        <w:rPr>
          <w:sz w:val="28"/>
          <w:szCs w:val="28"/>
        </w:rPr>
      </w:pPr>
    </w:p>
    <w:p w:rsidR="008D75C1" w:rsidRPr="0054645F" w:rsidRDefault="003E2887" w:rsidP="00DE02FD">
      <w:pPr>
        <w:rPr>
          <w:sz w:val="28"/>
          <w:szCs w:val="28"/>
        </w:rPr>
      </w:pPr>
      <w:r w:rsidRPr="0054645F">
        <w:rPr>
          <w:sz w:val="28"/>
          <w:szCs w:val="28"/>
        </w:rPr>
        <w:t>Secondly, w</w:t>
      </w:r>
      <w:r w:rsidR="00E37DDC" w:rsidRPr="0054645F">
        <w:rPr>
          <w:sz w:val="28"/>
          <w:szCs w:val="28"/>
        </w:rPr>
        <w:t xml:space="preserve">e </w:t>
      </w:r>
      <w:r w:rsidR="008D75C1" w:rsidRPr="0054645F">
        <w:rPr>
          <w:sz w:val="28"/>
          <w:szCs w:val="28"/>
        </w:rPr>
        <w:t xml:space="preserve">can also use the NtK </w:t>
      </w:r>
      <w:r w:rsidR="00D10756" w:rsidRPr="0054645F">
        <w:rPr>
          <w:sz w:val="28"/>
          <w:szCs w:val="28"/>
        </w:rPr>
        <w:t xml:space="preserve">framework </w:t>
      </w:r>
      <w:r w:rsidR="008D75C1" w:rsidRPr="0054645F">
        <w:rPr>
          <w:sz w:val="28"/>
          <w:szCs w:val="28"/>
        </w:rPr>
        <w:t xml:space="preserve">as an evaluation tool, or a tool to </w:t>
      </w:r>
      <w:r w:rsidR="008D75C1" w:rsidRPr="0054645F">
        <w:rPr>
          <w:b/>
          <w:i/>
          <w:sz w:val="28"/>
          <w:szCs w:val="28"/>
        </w:rPr>
        <w:t>track</w:t>
      </w:r>
      <w:r w:rsidR="008D75C1" w:rsidRPr="0054645F">
        <w:rPr>
          <w:sz w:val="28"/>
          <w:szCs w:val="28"/>
        </w:rPr>
        <w:t xml:space="preserve"> the implementation of </w:t>
      </w:r>
      <w:r w:rsidR="00E37DDC" w:rsidRPr="0054645F">
        <w:rPr>
          <w:sz w:val="28"/>
          <w:szCs w:val="28"/>
        </w:rPr>
        <w:t xml:space="preserve">the project’s </w:t>
      </w:r>
      <w:r w:rsidR="008D75C1" w:rsidRPr="0054645F">
        <w:rPr>
          <w:sz w:val="28"/>
          <w:szCs w:val="28"/>
        </w:rPr>
        <w:t xml:space="preserve">translational processes. </w:t>
      </w:r>
      <w:r w:rsidR="0096612C" w:rsidRPr="0054645F">
        <w:rPr>
          <w:sz w:val="28"/>
          <w:szCs w:val="28"/>
        </w:rPr>
        <w:t xml:space="preserve">In fact, we are using the NtK framework as a tracking tool in the current study. </w:t>
      </w:r>
    </w:p>
    <w:p w:rsidR="0096612C" w:rsidRPr="0054645F" w:rsidRDefault="0096612C" w:rsidP="00DE02FD">
      <w:pPr>
        <w:rPr>
          <w:sz w:val="28"/>
          <w:szCs w:val="28"/>
        </w:rPr>
      </w:pPr>
    </w:p>
    <w:p w:rsidR="007D01A7" w:rsidRDefault="0096612C" w:rsidP="0070355C">
      <w:pPr>
        <w:pStyle w:val="Heading1"/>
      </w:pPr>
      <w:r w:rsidRPr="0054645F">
        <w:lastRenderedPageBreak/>
        <w:t>T</w:t>
      </w:r>
      <w:r w:rsidR="00CE4335">
        <w:t xml:space="preserve">racking the implementation of KT4TT through </w:t>
      </w:r>
      <w:r w:rsidR="007D01A7">
        <w:t xml:space="preserve">NtK </w:t>
      </w:r>
      <w:r w:rsidR="00CE4335">
        <w:t>Stages, Steps and Gates</w:t>
      </w:r>
    </w:p>
    <w:p w:rsidR="0096612C" w:rsidRPr="0054645F" w:rsidRDefault="0096612C" w:rsidP="0070355C">
      <w:pPr>
        <w:pStyle w:val="Heading1"/>
      </w:pPr>
      <w:r w:rsidRPr="0054645F">
        <w:t>(Slide 5)</w:t>
      </w:r>
    </w:p>
    <w:p w:rsidR="0096612C" w:rsidRPr="0054645F" w:rsidRDefault="0096612C" w:rsidP="00DE02FD">
      <w:pPr>
        <w:rPr>
          <w:sz w:val="28"/>
          <w:szCs w:val="28"/>
        </w:rPr>
      </w:pPr>
    </w:p>
    <w:p w:rsidR="0096612C" w:rsidRPr="0054645F" w:rsidRDefault="0096612C" w:rsidP="00DE02FD">
      <w:pPr>
        <w:rPr>
          <w:sz w:val="28"/>
          <w:szCs w:val="28"/>
        </w:rPr>
      </w:pPr>
      <w:r w:rsidRPr="0054645F">
        <w:rPr>
          <w:sz w:val="28"/>
          <w:szCs w:val="28"/>
        </w:rPr>
        <w:t>(</w:t>
      </w:r>
      <w:r w:rsidR="00CC7801" w:rsidRPr="0054645F">
        <w:rPr>
          <w:sz w:val="28"/>
          <w:szCs w:val="28"/>
        </w:rPr>
        <w:t xml:space="preserve">Animation </w:t>
      </w:r>
      <w:r w:rsidRPr="0054645F">
        <w:rPr>
          <w:sz w:val="28"/>
          <w:szCs w:val="28"/>
        </w:rPr>
        <w:t>Section 1)</w:t>
      </w:r>
    </w:p>
    <w:p w:rsidR="008D75C1" w:rsidRPr="0054645F" w:rsidRDefault="008D75C1" w:rsidP="00DE02FD">
      <w:pPr>
        <w:rPr>
          <w:sz w:val="28"/>
          <w:szCs w:val="28"/>
        </w:rPr>
      </w:pPr>
      <w:r w:rsidRPr="0054645F">
        <w:rPr>
          <w:sz w:val="28"/>
          <w:szCs w:val="28"/>
        </w:rPr>
        <w:t xml:space="preserve">Here is how it can work as a tracking tool. </w:t>
      </w:r>
      <w:r w:rsidR="00D10756" w:rsidRPr="0054645F">
        <w:rPr>
          <w:sz w:val="28"/>
          <w:szCs w:val="28"/>
        </w:rPr>
        <w:t xml:space="preserve">For illustration purposes the slide shows </w:t>
      </w:r>
      <w:r w:rsidR="00AA17CA" w:rsidRPr="0054645F">
        <w:rPr>
          <w:sz w:val="28"/>
          <w:szCs w:val="28"/>
        </w:rPr>
        <w:t xml:space="preserve">just </w:t>
      </w:r>
      <w:r w:rsidR="00D10756" w:rsidRPr="0054645F">
        <w:rPr>
          <w:sz w:val="28"/>
          <w:szCs w:val="28"/>
        </w:rPr>
        <w:t>Phase One – Scientific R</w:t>
      </w:r>
      <w:r w:rsidRPr="0054645F">
        <w:rPr>
          <w:sz w:val="28"/>
          <w:szCs w:val="28"/>
        </w:rPr>
        <w:t xml:space="preserve">esearch. </w:t>
      </w:r>
      <w:r w:rsidR="00AA17CA" w:rsidRPr="0054645F">
        <w:rPr>
          <w:sz w:val="28"/>
          <w:szCs w:val="28"/>
        </w:rPr>
        <w:t xml:space="preserve">It shows the best practices of steps and gates all sequentially arranged in the form of a flow chart. </w:t>
      </w:r>
      <w:r w:rsidRPr="0054645F">
        <w:rPr>
          <w:sz w:val="28"/>
          <w:szCs w:val="28"/>
        </w:rPr>
        <w:t xml:space="preserve">The squares </w:t>
      </w:r>
      <w:r w:rsidR="00AA17CA" w:rsidRPr="0054645F">
        <w:rPr>
          <w:sz w:val="28"/>
          <w:szCs w:val="28"/>
        </w:rPr>
        <w:t xml:space="preserve">represent </w:t>
      </w:r>
      <w:r w:rsidRPr="0054645F">
        <w:rPr>
          <w:sz w:val="28"/>
          <w:szCs w:val="28"/>
        </w:rPr>
        <w:t xml:space="preserve">NtK steps and the hexagons </w:t>
      </w:r>
      <w:r w:rsidR="00AA17CA" w:rsidRPr="0054645F">
        <w:rPr>
          <w:sz w:val="28"/>
          <w:szCs w:val="28"/>
        </w:rPr>
        <w:t xml:space="preserve">represent </w:t>
      </w:r>
      <w:r w:rsidRPr="0054645F">
        <w:rPr>
          <w:sz w:val="28"/>
          <w:szCs w:val="28"/>
        </w:rPr>
        <w:t xml:space="preserve">the decision gates. The arrows </w:t>
      </w:r>
      <w:r w:rsidR="00AA17CA" w:rsidRPr="0054645F">
        <w:rPr>
          <w:sz w:val="28"/>
          <w:szCs w:val="28"/>
        </w:rPr>
        <w:t xml:space="preserve">represent </w:t>
      </w:r>
      <w:r w:rsidRPr="0054645F">
        <w:rPr>
          <w:sz w:val="28"/>
          <w:szCs w:val="28"/>
        </w:rPr>
        <w:t>the Knowledge</w:t>
      </w:r>
      <w:r w:rsidR="00757E43" w:rsidRPr="0054645F">
        <w:rPr>
          <w:sz w:val="28"/>
          <w:szCs w:val="28"/>
        </w:rPr>
        <w:t>-</w:t>
      </w:r>
      <w:r w:rsidRPr="0054645F">
        <w:rPr>
          <w:sz w:val="28"/>
          <w:szCs w:val="28"/>
        </w:rPr>
        <w:t>to</w:t>
      </w:r>
      <w:r w:rsidR="00757E43" w:rsidRPr="0054645F">
        <w:rPr>
          <w:sz w:val="28"/>
          <w:szCs w:val="28"/>
        </w:rPr>
        <w:t>-A</w:t>
      </w:r>
      <w:r w:rsidRPr="0054645F">
        <w:rPr>
          <w:sz w:val="28"/>
          <w:szCs w:val="28"/>
        </w:rPr>
        <w:t xml:space="preserve">ction activities </w:t>
      </w:r>
      <w:r w:rsidR="00757E43" w:rsidRPr="0054645F">
        <w:rPr>
          <w:sz w:val="28"/>
          <w:szCs w:val="28"/>
        </w:rPr>
        <w:t xml:space="preserve">that </w:t>
      </w:r>
      <w:r w:rsidRPr="0054645F">
        <w:rPr>
          <w:sz w:val="28"/>
          <w:szCs w:val="28"/>
        </w:rPr>
        <w:t xml:space="preserve">carry outputs to </w:t>
      </w:r>
      <w:r w:rsidR="00C7117C" w:rsidRPr="0054645F">
        <w:rPr>
          <w:sz w:val="28"/>
          <w:szCs w:val="28"/>
        </w:rPr>
        <w:t xml:space="preserve">other </w:t>
      </w:r>
      <w:r w:rsidRPr="0054645F">
        <w:rPr>
          <w:sz w:val="28"/>
          <w:szCs w:val="28"/>
        </w:rPr>
        <w:t xml:space="preserve">key stakeholders. </w:t>
      </w:r>
      <w:r w:rsidR="00AA17CA" w:rsidRPr="0054645F">
        <w:rPr>
          <w:sz w:val="28"/>
          <w:szCs w:val="28"/>
        </w:rPr>
        <w:t>The way we have used the flow chart is by shading the steps and gates to show their implementation status in a project. For example, h</w:t>
      </w:r>
      <w:r w:rsidRPr="0054645F">
        <w:rPr>
          <w:sz w:val="28"/>
          <w:szCs w:val="28"/>
        </w:rPr>
        <w:t xml:space="preserve">ere </w:t>
      </w:r>
      <w:r w:rsidR="00AA17CA" w:rsidRPr="0054645F">
        <w:rPr>
          <w:sz w:val="28"/>
          <w:szCs w:val="28"/>
        </w:rPr>
        <w:t xml:space="preserve">a </w:t>
      </w:r>
      <w:r w:rsidRPr="0054645F">
        <w:rPr>
          <w:sz w:val="28"/>
          <w:szCs w:val="28"/>
        </w:rPr>
        <w:t xml:space="preserve">dark green shade </w:t>
      </w:r>
      <w:r w:rsidR="00AA17CA" w:rsidRPr="0054645F">
        <w:rPr>
          <w:sz w:val="28"/>
          <w:szCs w:val="28"/>
        </w:rPr>
        <w:t xml:space="preserve">means </w:t>
      </w:r>
      <w:r w:rsidRPr="0054645F">
        <w:rPr>
          <w:sz w:val="28"/>
          <w:szCs w:val="28"/>
        </w:rPr>
        <w:t xml:space="preserve">the project implemented the step, a light green shows partial implementation and no shading means not implemented. This is </w:t>
      </w:r>
      <w:r w:rsidR="00757E43" w:rsidRPr="0054645F">
        <w:rPr>
          <w:sz w:val="28"/>
          <w:szCs w:val="28"/>
        </w:rPr>
        <w:t xml:space="preserve">a </w:t>
      </w:r>
      <w:r w:rsidR="00AA17CA" w:rsidRPr="0054645F">
        <w:rPr>
          <w:sz w:val="28"/>
          <w:szCs w:val="28"/>
        </w:rPr>
        <w:t xml:space="preserve">sort of </w:t>
      </w:r>
      <w:r w:rsidRPr="0054645F">
        <w:rPr>
          <w:sz w:val="28"/>
          <w:szCs w:val="28"/>
        </w:rPr>
        <w:t xml:space="preserve">visual </w:t>
      </w:r>
      <w:r w:rsidR="00AA17CA" w:rsidRPr="0054645F">
        <w:rPr>
          <w:sz w:val="28"/>
          <w:szCs w:val="28"/>
        </w:rPr>
        <w:t>“</w:t>
      </w:r>
      <w:r w:rsidRPr="0054645F">
        <w:rPr>
          <w:sz w:val="28"/>
          <w:szCs w:val="28"/>
        </w:rPr>
        <w:t>mapping</w:t>
      </w:r>
      <w:r w:rsidR="00AA17CA" w:rsidRPr="0054645F">
        <w:rPr>
          <w:sz w:val="28"/>
          <w:szCs w:val="28"/>
        </w:rPr>
        <w:t>”</w:t>
      </w:r>
      <w:r w:rsidRPr="0054645F">
        <w:rPr>
          <w:sz w:val="28"/>
          <w:szCs w:val="28"/>
        </w:rPr>
        <w:t xml:space="preserve"> of the project’s processes</w:t>
      </w:r>
      <w:r w:rsidR="00AA17CA" w:rsidRPr="0054645F">
        <w:rPr>
          <w:sz w:val="28"/>
          <w:szCs w:val="28"/>
        </w:rPr>
        <w:t xml:space="preserve"> overlaid on the NtK best practices</w:t>
      </w:r>
      <w:r w:rsidRPr="0054645F">
        <w:rPr>
          <w:sz w:val="28"/>
          <w:szCs w:val="28"/>
        </w:rPr>
        <w:t>.</w:t>
      </w:r>
      <w:r w:rsidR="00AA17CA" w:rsidRPr="0054645F">
        <w:rPr>
          <w:sz w:val="28"/>
          <w:szCs w:val="28"/>
        </w:rPr>
        <w:t xml:space="preserve"> This will allow us to describe a project’s </w:t>
      </w:r>
      <w:r w:rsidR="00757E43" w:rsidRPr="0054645F">
        <w:rPr>
          <w:sz w:val="28"/>
          <w:szCs w:val="28"/>
        </w:rPr>
        <w:t xml:space="preserve">implementation </w:t>
      </w:r>
      <w:r w:rsidR="00AA17CA" w:rsidRPr="0054645F">
        <w:rPr>
          <w:sz w:val="28"/>
          <w:szCs w:val="28"/>
        </w:rPr>
        <w:t xml:space="preserve">“pattern” matched against the NtK </w:t>
      </w:r>
      <w:r w:rsidR="000450CB" w:rsidRPr="0054645F">
        <w:rPr>
          <w:sz w:val="28"/>
          <w:szCs w:val="28"/>
        </w:rPr>
        <w:t>recommended practices</w:t>
      </w:r>
      <w:r w:rsidR="00AA17CA" w:rsidRPr="0054645F">
        <w:rPr>
          <w:sz w:val="28"/>
          <w:szCs w:val="28"/>
        </w:rPr>
        <w:t xml:space="preserve"> and</w:t>
      </w:r>
      <w:r w:rsidR="00757E43" w:rsidRPr="0054645F">
        <w:rPr>
          <w:sz w:val="28"/>
          <w:szCs w:val="28"/>
        </w:rPr>
        <w:t xml:space="preserve"> to</w:t>
      </w:r>
      <w:r w:rsidR="00AA17CA" w:rsidRPr="0054645F">
        <w:rPr>
          <w:sz w:val="28"/>
          <w:szCs w:val="28"/>
        </w:rPr>
        <w:t xml:space="preserve"> identify gaps </w:t>
      </w:r>
      <w:r w:rsidR="000450CB" w:rsidRPr="0054645F">
        <w:rPr>
          <w:sz w:val="28"/>
          <w:szCs w:val="28"/>
        </w:rPr>
        <w:t>and/or enhancements</w:t>
      </w:r>
      <w:r w:rsidR="00AA17CA" w:rsidRPr="0054645F">
        <w:rPr>
          <w:sz w:val="28"/>
          <w:szCs w:val="28"/>
        </w:rPr>
        <w:t xml:space="preserve">. </w:t>
      </w:r>
    </w:p>
    <w:p w:rsidR="008D75C1" w:rsidRPr="0054645F" w:rsidRDefault="008D75C1" w:rsidP="00DE02FD">
      <w:pPr>
        <w:rPr>
          <w:sz w:val="28"/>
          <w:szCs w:val="28"/>
        </w:rPr>
      </w:pPr>
    </w:p>
    <w:p w:rsidR="007D01A7" w:rsidRDefault="008D75C1" w:rsidP="0070355C">
      <w:pPr>
        <w:pStyle w:val="Heading1"/>
      </w:pPr>
      <w:r w:rsidRPr="0054645F">
        <w:t>The Longitudinal Study at the KT4TT Center</w:t>
      </w:r>
      <w:r w:rsidR="000450CB" w:rsidRPr="0054645F">
        <w:t xml:space="preserve"> </w:t>
      </w:r>
    </w:p>
    <w:p w:rsidR="008D75C1" w:rsidRPr="0054645F" w:rsidRDefault="000450CB" w:rsidP="0070355C">
      <w:pPr>
        <w:pStyle w:val="Heading1"/>
      </w:pPr>
      <w:r w:rsidRPr="0054645F">
        <w:t>(Slide 6)</w:t>
      </w:r>
    </w:p>
    <w:p w:rsidR="008D75C1" w:rsidRPr="0054645F" w:rsidRDefault="008D75C1" w:rsidP="00DE02FD">
      <w:pPr>
        <w:rPr>
          <w:b/>
          <w:sz w:val="28"/>
          <w:szCs w:val="28"/>
        </w:rPr>
      </w:pPr>
    </w:p>
    <w:p w:rsidR="00FB3414" w:rsidRPr="0054645F" w:rsidRDefault="008D75C1" w:rsidP="00FB3414">
      <w:pPr>
        <w:rPr>
          <w:sz w:val="28"/>
          <w:szCs w:val="28"/>
        </w:rPr>
      </w:pPr>
      <w:r w:rsidRPr="0054645F">
        <w:rPr>
          <w:sz w:val="28"/>
          <w:szCs w:val="28"/>
        </w:rPr>
        <w:t xml:space="preserve">The </w:t>
      </w:r>
      <w:r w:rsidR="00FB3414" w:rsidRPr="0054645F">
        <w:rPr>
          <w:b/>
          <w:sz w:val="28"/>
          <w:szCs w:val="28"/>
        </w:rPr>
        <w:t>Focus</w:t>
      </w:r>
      <w:r w:rsidR="00FB3414" w:rsidRPr="0054645F">
        <w:rPr>
          <w:sz w:val="28"/>
          <w:szCs w:val="28"/>
        </w:rPr>
        <w:t xml:space="preserve"> of our study are the NIDILRR grantees’ development and transfer projects. The purpose is to analytically describe their translational processes;</w:t>
      </w:r>
    </w:p>
    <w:p w:rsidR="00FB3414" w:rsidRPr="0054645F" w:rsidRDefault="00FB3414" w:rsidP="00FB3414">
      <w:pPr>
        <w:rPr>
          <w:sz w:val="28"/>
          <w:szCs w:val="28"/>
        </w:rPr>
      </w:pPr>
    </w:p>
    <w:p w:rsidR="00FB3414" w:rsidRPr="0054645F" w:rsidRDefault="00FB3414" w:rsidP="0091423A">
      <w:pPr>
        <w:rPr>
          <w:sz w:val="28"/>
          <w:szCs w:val="28"/>
        </w:rPr>
      </w:pPr>
      <w:r w:rsidRPr="0054645F">
        <w:rPr>
          <w:sz w:val="28"/>
          <w:szCs w:val="28"/>
        </w:rPr>
        <w:t xml:space="preserve">In order to do so, our </w:t>
      </w:r>
      <w:r w:rsidRPr="0054645F">
        <w:rPr>
          <w:b/>
          <w:sz w:val="28"/>
          <w:szCs w:val="28"/>
        </w:rPr>
        <w:t>approach</w:t>
      </w:r>
      <w:r w:rsidRPr="0054645F">
        <w:rPr>
          <w:sz w:val="28"/>
          <w:szCs w:val="28"/>
        </w:rPr>
        <w:t xml:space="preserve"> is to capture their translation stories by systematically tracking their project implementation from beginning to end. </w:t>
      </w:r>
    </w:p>
    <w:p w:rsidR="00FB3414" w:rsidRPr="0054645F" w:rsidRDefault="00FB3414" w:rsidP="0091423A">
      <w:pPr>
        <w:rPr>
          <w:sz w:val="28"/>
          <w:szCs w:val="28"/>
        </w:rPr>
      </w:pPr>
    </w:p>
    <w:p w:rsidR="00A83DC0" w:rsidRPr="0054645F" w:rsidRDefault="00FB3414" w:rsidP="0091423A">
      <w:pPr>
        <w:rPr>
          <w:sz w:val="28"/>
          <w:szCs w:val="28"/>
        </w:rPr>
      </w:pPr>
      <w:r w:rsidRPr="0054645F">
        <w:rPr>
          <w:sz w:val="28"/>
          <w:szCs w:val="28"/>
        </w:rPr>
        <w:t xml:space="preserve">The </w:t>
      </w:r>
      <w:r w:rsidRPr="0054645F">
        <w:rPr>
          <w:b/>
          <w:sz w:val="28"/>
          <w:szCs w:val="28"/>
        </w:rPr>
        <w:t>Objectives</w:t>
      </w:r>
      <w:r w:rsidRPr="0054645F">
        <w:rPr>
          <w:sz w:val="28"/>
          <w:szCs w:val="28"/>
        </w:rPr>
        <w:t xml:space="preserve"> of the </w:t>
      </w:r>
      <w:r w:rsidR="008D75C1" w:rsidRPr="0054645F">
        <w:rPr>
          <w:sz w:val="28"/>
          <w:szCs w:val="28"/>
        </w:rPr>
        <w:t xml:space="preserve">study are </w:t>
      </w:r>
      <w:r w:rsidR="00A83DC0" w:rsidRPr="0054645F">
        <w:rPr>
          <w:sz w:val="28"/>
          <w:szCs w:val="28"/>
        </w:rPr>
        <w:t xml:space="preserve">to: </w:t>
      </w:r>
    </w:p>
    <w:p w:rsidR="00AA54C6" w:rsidRPr="0054645F" w:rsidRDefault="00AA54C6" w:rsidP="0091423A">
      <w:pPr>
        <w:rPr>
          <w:sz w:val="28"/>
          <w:szCs w:val="28"/>
        </w:rPr>
      </w:pPr>
    </w:p>
    <w:p w:rsidR="00A83DC0" w:rsidRPr="0054645F" w:rsidRDefault="008D75C1" w:rsidP="0091423A">
      <w:pPr>
        <w:rPr>
          <w:sz w:val="28"/>
          <w:szCs w:val="28"/>
        </w:rPr>
      </w:pPr>
      <w:r w:rsidRPr="0054645F">
        <w:rPr>
          <w:sz w:val="28"/>
          <w:szCs w:val="28"/>
        </w:rPr>
        <w:t xml:space="preserve">(a) identify </w:t>
      </w:r>
      <w:r w:rsidR="00FB3414" w:rsidRPr="0054645F">
        <w:rPr>
          <w:sz w:val="28"/>
          <w:szCs w:val="28"/>
        </w:rPr>
        <w:t xml:space="preserve">and document </w:t>
      </w:r>
      <w:r w:rsidRPr="0054645F">
        <w:rPr>
          <w:sz w:val="28"/>
          <w:szCs w:val="28"/>
        </w:rPr>
        <w:t xml:space="preserve">the barriers and facilitators in the translational processes of the </w:t>
      </w:r>
      <w:r w:rsidR="000C1753" w:rsidRPr="0054645F">
        <w:rPr>
          <w:sz w:val="28"/>
          <w:szCs w:val="28"/>
        </w:rPr>
        <w:t xml:space="preserve">(technology) </w:t>
      </w:r>
      <w:r w:rsidRPr="0054645F">
        <w:rPr>
          <w:sz w:val="28"/>
          <w:szCs w:val="28"/>
        </w:rPr>
        <w:t xml:space="preserve">development and transfer projects </w:t>
      </w:r>
      <w:r w:rsidR="00C7117C" w:rsidRPr="0054645F">
        <w:rPr>
          <w:sz w:val="28"/>
          <w:szCs w:val="28"/>
        </w:rPr>
        <w:t>funded by NIDILR</w:t>
      </w:r>
      <w:r w:rsidRPr="0054645F">
        <w:rPr>
          <w:sz w:val="28"/>
          <w:szCs w:val="28"/>
        </w:rPr>
        <w:t xml:space="preserve">R. And </w:t>
      </w:r>
    </w:p>
    <w:p w:rsidR="00161A14" w:rsidRPr="0054645F" w:rsidRDefault="008D75C1" w:rsidP="0091423A">
      <w:pPr>
        <w:rPr>
          <w:sz w:val="28"/>
          <w:szCs w:val="28"/>
        </w:rPr>
      </w:pPr>
      <w:r w:rsidRPr="0054645F">
        <w:rPr>
          <w:sz w:val="28"/>
          <w:szCs w:val="28"/>
        </w:rPr>
        <w:lastRenderedPageBreak/>
        <w:t xml:space="preserve">(b) use the findings to refine the NtK framework itself, </w:t>
      </w:r>
      <w:r w:rsidR="00FB3414" w:rsidRPr="0054645F">
        <w:rPr>
          <w:sz w:val="28"/>
          <w:szCs w:val="28"/>
        </w:rPr>
        <w:t xml:space="preserve">and </w:t>
      </w:r>
      <w:r w:rsidR="00AA54C6" w:rsidRPr="0054645F">
        <w:rPr>
          <w:sz w:val="28"/>
          <w:szCs w:val="28"/>
        </w:rPr>
        <w:t xml:space="preserve">validate </w:t>
      </w:r>
      <w:r w:rsidR="00FB3414" w:rsidRPr="0054645F">
        <w:rPr>
          <w:sz w:val="28"/>
          <w:szCs w:val="28"/>
        </w:rPr>
        <w:t>it to the grantee cont</w:t>
      </w:r>
      <w:r w:rsidR="00AA54C6" w:rsidRPr="0054645F">
        <w:rPr>
          <w:sz w:val="28"/>
          <w:szCs w:val="28"/>
        </w:rPr>
        <w:t>e</w:t>
      </w:r>
      <w:r w:rsidR="00FB3414" w:rsidRPr="0054645F">
        <w:rPr>
          <w:sz w:val="28"/>
          <w:szCs w:val="28"/>
        </w:rPr>
        <w:t xml:space="preserve">xt </w:t>
      </w:r>
      <w:r w:rsidR="00AA54C6" w:rsidRPr="0054645F">
        <w:rPr>
          <w:sz w:val="28"/>
          <w:szCs w:val="28"/>
        </w:rPr>
        <w:t>– (</w:t>
      </w:r>
      <w:r w:rsidRPr="0054645F">
        <w:rPr>
          <w:sz w:val="28"/>
          <w:szCs w:val="28"/>
        </w:rPr>
        <w:t>using the NTK steps a</w:t>
      </w:r>
      <w:r w:rsidR="0091423A" w:rsidRPr="0054645F">
        <w:rPr>
          <w:sz w:val="28"/>
          <w:szCs w:val="28"/>
        </w:rPr>
        <w:t xml:space="preserve">s the basis for capturing the translation stories of the grantees </w:t>
      </w:r>
      <w:r w:rsidR="00AA54C6" w:rsidRPr="0054645F">
        <w:rPr>
          <w:sz w:val="28"/>
          <w:szCs w:val="28"/>
        </w:rPr>
        <w:t>gives us this opportunity).</w:t>
      </w:r>
    </w:p>
    <w:p w:rsidR="0091423A" w:rsidRPr="0054645F" w:rsidRDefault="0091423A" w:rsidP="0091423A">
      <w:pPr>
        <w:rPr>
          <w:sz w:val="28"/>
          <w:szCs w:val="28"/>
        </w:rPr>
      </w:pPr>
    </w:p>
    <w:p w:rsidR="007D01A7" w:rsidRDefault="00D54846" w:rsidP="0070355C">
      <w:pPr>
        <w:pStyle w:val="Heading1"/>
      </w:pPr>
      <w:r w:rsidRPr="0054645F">
        <w:t>Study Design</w:t>
      </w:r>
    </w:p>
    <w:p w:rsidR="00AA54C6" w:rsidRPr="0054645F" w:rsidRDefault="00AA54C6" w:rsidP="0070355C">
      <w:pPr>
        <w:pStyle w:val="Heading1"/>
      </w:pPr>
      <w:r w:rsidRPr="0054645F">
        <w:t>(</w:t>
      </w:r>
      <w:r w:rsidR="0070355C">
        <w:t>S</w:t>
      </w:r>
      <w:r w:rsidRPr="0054645F">
        <w:t>lide 7)</w:t>
      </w:r>
    </w:p>
    <w:p w:rsidR="008F578C" w:rsidRPr="0054645F" w:rsidRDefault="008F578C" w:rsidP="008F578C">
      <w:pPr>
        <w:jc w:val="center"/>
        <w:rPr>
          <w:b/>
          <w:sz w:val="28"/>
          <w:szCs w:val="28"/>
        </w:rPr>
      </w:pPr>
    </w:p>
    <w:p w:rsidR="00D54846" w:rsidRPr="0054645F" w:rsidRDefault="00D54846" w:rsidP="00D54846">
      <w:pPr>
        <w:rPr>
          <w:b/>
          <w:i/>
          <w:sz w:val="28"/>
          <w:szCs w:val="28"/>
        </w:rPr>
      </w:pPr>
      <w:r w:rsidRPr="0054645F">
        <w:rPr>
          <w:b/>
          <w:i/>
          <w:sz w:val="28"/>
          <w:szCs w:val="28"/>
        </w:rPr>
        <w:t xml:space="preserve">Design: </w:t>
      </w:r>
    </w:p>
    <w:p w:rsidR="00D54846" w:rsidRPr="0054645F" w:rsidRDefault="00D54846" w:rsidP="00D54846">
      <w:pPr>
        <w:rPr>
          <w:sz w:val="28"/>
          <w:szCs w:val="28"/>
        </w:rPr>
      </w:pPr>
      <w:r w:rsidRPr="0054645F">
        <w:rPr>
          <w:sz w:val="28"/>
          <w:szCs w:val="28"/>
        </w:rPr>
        <w:t xml:space="preserve">The study design is to compile a Collective Case Study as proposed by Stake (1995,2003) by aggregating findings from individual case analyses of data captured </w:t>
      </w:r>
      <w:r w:rsidR="00DE3CAA" w:rsidRPr="0054645F">
        <w:rPr>
          <w:sz w:val="28"/>
          <w:szCs w:val="28"/>
        </w:rPr>
        <w:t xml:space="preserve">prospectively and </w:t>
      </w:r>
      <w:r w:rsidRPr="0054645F">
        <w:rPr>
          <w:sz w:val="28"/>
          <w:szCs w:val="28"/>
        </w:rPr>
        <w:t>qualitatively.</w:t>
      </w:r>
    </w:p>
    <w:p w:rsidR="00D54846" w:rsidRPr="0054645F" w:rsidRDefault="00D54846" w:rsidP="0091423A">
      <w:pPr>
        <w:rPr>
          <w:b/>
          <w:i/>
          <w:sz w:val="28"/>
          <w:szCs w:val="28"/>
        </w:rPr>
      </w:pPr>
    </w:p>
    <w:p w:rsidR="0091423A" w:rsidRPr="0054645F" w:rsidRDefault="0091423A" w:rsidP="0091423A">
      <w:pPr>
        <w:rPr>
          <w:b/>
          <w:i/>
          <w:sz w:val="28"/>
          <w:szCs w:val="28"/>
        </w:rPr>
      </w:pPr>
      <w:r w:rsidRPr="0054645F">
        <w:rPr>
          <w:b/>
          <w:i/>
          <w:sz w:val="28"/>
          <w:szCs w:val="28"/>
        </w:rPr>
        <w:t>Participants:</w:t>
      </w:r>
    </w:p>
    <w:p w:rsidR="0091423A" w:rsidRPr="0054645F" w:rsidRDefault="00AA54C6" w:rsidP="0091423A">
      <w:pPr>
        <w:rPr>
          <w:sz w:val="28"/>
          <w:szCs w:val="28"/>
        </w:rPr>
      </w:pPr>
      <w:r w:rsidRPr="0054645F">
        <w:rPr>
          <w:sz w:val="28"/>
          <w:szCs w:val="28"/>
        </w:rPr>
        <w:t xml:space="preserve">The study participants are the Principal investigators of development projects funded in the years 2013 and 2014. Each project is a “case” and we are </w:t>
      </w:r>
      <w:r w:rsidR="0091423A" w:rsidRPr="0054645F">
        <w:rPr>
          <w:sz w:val="28"/>
          <w:szCs w:val="28"/>
        </w:rPr>
        <w:t>following 19 projects or “cases”</w:t>
      </w:r>
      <w:r w:rsidRPr="0054645F">
        <w:rPr>
          <w:sz w:val="28"/>
          <w:szCs w:val="28"/>
        </w:rPr>
        <w:t xml:space="preserve">. </w:t>
      </w:r>
      <w:r w:rsidR="0091423A" w:rsidRPr="0054645F">
        <w:rPr>
          <w:sz w:val="28"/>
          <w:szCs w:val="28"/>
        </w:rPr>
        <w:t>The</w:t>
      </w:r>
      <w:r w:rsidR="00146956" w:rsidRPr="0054645F">
        <w:rPr>
          <w:sz w:val="28"/>
          <w:szCs w:val="28"/>
        </w:rPr>
        <w:t xml:space="preserve">ir participation is voluntary. And we have confidentiality agreements with them. </w:t>
      </w:r>
      <w:r w:rsidR="00D54846" w:rsidRPr="0054645F">
        <w:rPr>
          <w:sz w:val="28"/>
          <w:szCs w:val="28"/>
        </w:rPr>
        <w:t>As you see in the chart, s</w:t>
      </w:r>
      <w:r w:rsidR="0091423A" w:rsidRPr="0054645F">
        <w:rPr>
          <w:sz w:val="28"/>
          <w:szCs w:val="28"/>
        </w:rPr>
        <w:t xml:space="preserve">ome </w:t>
      </w:r>
      <w:r w:rsidR="00D54846" w:rsidRPr="0054645F">
        <w:rPr>
          <w:sz w:val="28"/>
          <w:szCs w:val="28"/>
        </w:rPr>
        <w:t xml:space="preserve">(the Rehabilitation Engineering Research Centers) </w:t>
      </w:r>
      <w:r w:rsidR="0091423A" w:rsidRPr="0054645F">
        <w:rPr>
          <w:sz w:val="28"/>
          <w:szCs w:val="28"/>
        </w:rPr>
        <w:t>are 5 year projects</w:t>
      </w:r>
      <w:r w:rsidR="00D54846" w:rsidRPr="0054645F">
        <w:rPr>
          <w:sz w:val="28"/>
          <w:szCs w:val="28"/>
        </w:rPr>
        <w:t xml:space="preserve">, </w:t>
      </w:r>
      <w:r w:rsidR="0091423A" w:rsidRPr="0054645F">
        <w:rPr>
          <w:sz w:val="28"/>
          <w:szCs w:val="28"/>
        </w:rPr>
        <w:t xml:space="preserve">others </w:t>
      </w:r>
      <w:r w:rsidR="00D54846" w:rsidRPr="0054645F">
        <w:rPr>
          <w:sz w:val="28"/>
          <w:szCs w:val="28"/>
        </w:rPr>
        <w:t xml:space="preserve">(Field Initiated Development projects) </w:t>
      </w:r>
      <w:r w:rsidR="0091423A" w:rsidRPr="0054645F">
        <w:rPr>
          <w:sz w:val="28"/>
          <w:szCs w:val="28"/>
        </w:rPr>
        <w:t xml:space="preserve">are 3 year projects or </w:t>
      </w:r>
      <w:r w:rsidR="00D54846" w:rsidRPr="0054645F">
        <w:rPr>
          <w:sz w:val="28"/>
          <w:szCs w:val="28"/>
        </w:rPr>
        <w:t xml:space="preserve">yet others (Small Business </w:t>
      </w:r>
      <w:r w:rsidR="00DE3CAA" w:rsidRPr="0054645F">
        <w:rPr>
          <w:sz w:val="28"/>
          <w:szCs w:val="28"/>
        </w:rPr>
        <w:t>Industry</w:t>
      </w:r>
      <w:r w:rsidR="00D54846" w:rsidRPr="0054645F">
        <w:rPr>
          <w:sz w:val="28"/>
          <w:szCs w:val="28"/>
        </w:rPr>
        <w:t xml:space="preserve"> Research II) are </w:t>
      </w:r>
      <w:r w:rsidR="0091423A" w:rsidRPr="0054645F">
        <w:rPr>
          <w:sz w:val="28"/>
          <w:szCs w:val="28"/>
        </w:rPr>
        <w:t xml:space="preserve">2 year projects. But they are all development and transfer projects. </w:t>
      </w:r>
    </w:p>
    <w:p w:rsidR="00DE3CAA" w:rsidRPr="0054645F" w:rsidRDefault="00DE3CAA" w:rsidP="0091423A">
      <w:pPr>
        <w:rPr>
          <w:b/>
          <w:sz w:val="28"/>
          <w:szCs w:val="28"/>
        </w:rPr>
      </w:pPr>
    </w:p>
    <w:p w:rsidR="007D01A7" w:rsidRDefault="0091423A" w:rsidP="0070355C">
      <w:pPr>
        <w:pStyle w:val="Heading1"/>
      </w:pPr>
      <w:r w:rsidRPr="0054645F">
        <w:t>Method</w:t>
      </w:r>
    </w:p>
    <w:p w:rsidR="0091423A" w:rsidRPr="0054645F" w:rsidRDefault="00DE3CAA" w:rsidP="0070355C">
      <w:pPr>
        <w:pStyle w:val="Heading1"/>
      </w:pPr>
      <w:r w:rsidRPr="0054645F">
        <w:t>(Slide 8)</w:t>
      </w:r>
    </w:p>
    <w:p w:rsidR="008F578C" w:rsidRPr="0054645F" w:rsidRDefault="008F578C" w:rsidP="0091423A">
      <w:pPr>
        <w:rPr>
          <w:sz w:val="28"/>
          <w:szCs w:val="28"/>
        </w:rPr>
      </w:pPr>
    </w:p>
    <w:p w:rsidR="00DE3CAA" w:rsidRPr="0054645F" w:rsidRDefault="0091423A" w:rsidP="0091423A">
      <w:pPr>
        <w:rPr>
          <w:sz w:val="28"/>
          <w:szCs w:val="28"/>
        </w:rPr>
      </w:pPr>
      <w:r w:rsidRPr="0054645F">
        <w:rPr>
          <w:sz w:val="28"/>
          <w:szCs w:val="28"/>
        </w:rPr>
        <w:t xml:space="preserve">Here is a snapshot of the method we are following. </w:t>
      </w:r>
    </w:p>
    <w:p w:rsidR="008A1607" w:rsidRPr="0054645F" w:rsidRDefault="008A1607" w:rsidP="008A1607">
      <w:pPr>
        <w:rPr>
          <w:sz w:val="28"/>
          <w:szCs w:val="28"/>
        </w:rPr>
      </w:pPr>
      <w:r w:rsidRPr="0054645F">
        <w:rPr>
          <w:sz w:val="28"/>
          <w:szCs w:val="28"/>
          <w:u w:val="single"/>
        </w:rPr>
        <w:t>Baseline Data</w:t>
      </w:r>
      <w:r w:rsidRPr="0054645F">
        <w:rPr>
          <w:sz w:val="28"/>
          <w:szCs w:val="28"/>
        </w:rPr>
        <w:t xml:space="preserve">: </w:t>
      </w:r>
    </w:p>
    <w:p w:rsidR="00DE3CAA" w:rsidRPr="0054645F" w:rsidRDefault="00DE3CAA" w:rsidP="008A1607">
      <w:pPr>
        <w:pStyle w:val="ListParagraph"/>
        <w:numPr>
          <w:ilvl w:val="0"/>
          <w:numId w:val="4"/>
        </w:numPr>
        <w:rPr>
          <w:sz w:val="28"/>
          <w:szCs w:val="28"/>
        </w:rPr>
      </w:pPr>
      <w:r w:rsidRPr="0054645F">
        <w:rPr>
          <w:sz w:val="28"/>
          <w:szCs w:val="28"/>
        </w:rPr>
        <w:t xml:space="preserve">For a </w:t>
      </w:r>
      <w:r w:rsidR="0091423A" w:rsidRPr="0054645F">
        <w:rPr>
          <w:sz w:val="28"/>
          <w:szCs w:val="28"/>
        </w:rPr>
        <w:t>baseline</w:t>
      </w:r>
      <w:r w:rsidRPr="0054645F">
        <w:rPr>
          <w:sz w:val="28"/>
          <w:szCs w:val="28"/>
        </w:rPr>
        <w:t xml:space="preserve"> view</w:t>
      </w:r>
      <w:r w:rsidR="0091423A" w:rsidRPr="0054645F">
        <w:rPr>
          <w:sz w:val="28"/>
          <w:szCs w:val="28"/>
        </w:rPr>
        <w:t xml:space="preserve">, we review </w:t>
      </w:r>
      <w:r w:rsidRPr="0054645F">
        <w:rPr>
          <w:sz w:val="28"/>
          <w:szCs w:val="28"/>
        </w:rPr>
        <w:t xml:space="preserve">each participant </w:t>
      </w:r>
      <w:r w:rsidR="0091423A" w:rsidRPr="0054645F">
        <w:rPr>
          <w:sz w:val="28"/>
          <w:szCs w:val="28"/>
        </w:rPr>
        <w:t>Grantee</w:t>
      </w:r>
      <w:r w:rsidRPr="0054645F">
        <w:rPr>
          <w:sz w:val="28"/>
          <w:szCs w:val="28"/>
        </w:rPr>
        <w:t>’s</w:t>
      </w:r>
      <w:r w:rsidR="0091423A" w:rsidRPr="0054645F">
        <w:rPr>
          <w:sz w:val="28"/>
          <w:szCs w:val="28"/>
        </w:rPr>
        <w:t xml:space="preserve"> proposal and their tech </w:t>
      </w:r>
      <w:r w:rsidR="00146956" w:rsidRPr="0054645F">
        <w:rPr>
          <w:sz w:val="28"/>
          <w:szCs w:val="28"/>
        </w:rPr>
        <w:t xml:space="preserve">transfer plans using a checklist based on NtK steps. </w:t>
      </w:r>
    </w:p>
    <w:p w:rsidR="008A1607" w:rsidRPr="0054645F" w:rsidRDefault="008A1607" w:rsidP="008A1607">
      <w:pPr>
        <w:rPr>
          <w:sz w:val="28"/>
          <w:szCs w:val="28"/>
        </w:rPr>
      </w:pPr>
      <w:r w:rsidRPr="0054645F">
        <w:rPr>
          <w:sz w:val="28"/>
          <w:szCs w:val="28"/>
          <w:u w:val="single"/>
        </w:rPr>
        <w:t>Follow-up data</w:t>
      </w:r>
      <w:r w:rsidRPr="0054645F">
        <w:rPr>
          <w:sz w:val="28"/>
          <w:szCs w:val="28"/>
        </w:rPr>
        <w:t xml:space="preserve">: </w:t>
      </w:r>
    </w:p>
    <w:p w:rsidR="00146956" w:rsidRPr="0054645F" w:rsidRDefault="00146956" w:rsidP="008A1607">
      <w:pPr>
        <w:pStyle w:val="ListParagraph"/>
        <w:numPr>
          <w:ilvl w:val="0"/>
          <w:numId w:val="4"/>
        </w:numPr>
        <w:rPr>
          <w:sz w:val="28"/>
          <w:szCs w:val="28"/>
        </w:rPr>
      </w:pPr>
      <w:r w:rsidRPr="0054645F">
        <w:rPr>
          <w:sz w:val="28"/>
          <w:szCs w:val="28"/>
        </w:rPr>
        <w:t>Then we</w:t>
      </w:r>
      <w:r w:rsidR="00DE3CAA" w:rsidRPr="0054645F">
        <w:rPr>
          <w:sz w:val="28"/>
          <w:szCs w:val="28"/>
        </w:rPr>
        <w:t xml:space="preserve"> conduct </w:t>
      </w:r>
      <w:r w:rsidRPr="0054645F">
        <w:rPr>
          <w:sz w:val="28"/>
          <w:szCs w:val="28"/>
        </w:rPr>
        <w:t xml:space="preserve">follow up </w:t>
      </w:r>
      <w:r w:rsidR="000C1753" w:rsidRPr="0054645F">
        <w:rPr>
          <w:sz w:val="28"/>
          <w:szCs w:val="28"/>
        </w:rPr>
        <w:t xml:space="preserve">telephone </w:t>
      </w:r>
      <w:r w:rsidRPr="0054645F">
        <w:rPr>
          <w:sz w:val="28"/>
          <w:szCs w:val="28"/>
        </w:rPr>
        <w:t xml:space="preserve">interviews with the project PI </w:t>
      </w:r>
      <w:r w:rsidR="000C1753" w:rsidRPr="0054645F">
        <w:rPr>
          <w:sz w:val="28"/>
          <w:szCs w:val="28"/>
        </w:rPr>
        <w:t xml:space="preserve">every </w:t>
      </w:r>
      <w:r w:rsidRPr="0054645F">
        <w:rPr>
          <w:sz w:val="28"/>
          <w:szCs w:val="28"/>
        </w:rPr>
        <w:t>3-4 months</w:t>
      </w:r>
      <w:r w:rsidR="00DE3CAA" w:rsidRPr="0054645F">
        <w:rPr>
          <w:sz w:val="28"/>
          <w:szCs w:val="28"/>
        </w:rPr>
        <w:t xml:space="preserve">, once </w:t>
      </w:r>
      <w:r w:rsidRPr="0054645F">
        <w:rPr>
          <w:sz w:val="28"/>
          <w:szCs w:val="28"/>
        </w:rPr>
        <w:t>they start their implementation. We use questionnaires base</w:t>
      </w:r>
      <w:r w:rsidR="00DE3CAA" w:rsidRPr="0054645F">
        <w:rPr>
          <w:sz w:val="28"/>
          <w:szCs w:val="28"/>
        </w:rPr>
        <w:t xml:space="preserve">d on the appropriate NtK steps, and send it to the PI prior to </w:t>
      </w:r>
      <w:r w:rsidR="00DE3CAA" w:rsidRPr="0054645F">
        <w:rPr>
          <w:sz w:val="28"/>
          <w:szCs w:val="28"/>
        </w:rPr>
        <w:lastRenderedPageBreak/>
        <w:t>the interview. The interview itself is one-hour</w:t>
      </w:r>
      <w:r w:rsidRPr="0054645F">
        <w:rPr>
          <w:sz w:val="28"/>
          <w:szCs w:val="28"/>
        </w:rPr>
        <w:t xml:space="preserve"> </w:t>
      </w:r>
      <w:r w:rsidR="00DE3CAA" w:rsidRPr="0054645F">
        <w:rPr>
          <w:sz w:val="28"/>
          <w:szCs w:val="28"/>
        </w:rPr>
        <w:t xml:space="preserve">long on the </w:t>
      </w:r>
      <w:r w:rsidRPr="0054645F">
        <w:rPr>
          <w:sz w:val="28"/>
          <w:szCs w:val="28"/>
        </w:rPr>
        <w:t>phone</w:t>
      </w:r>
      <w:r w:rsidR="00DE3CAA" w:rsidRPr="0054645F">
        <w:rPr>
          <w:sz w:val="28"/>
          <w:szCs w:val="28"/>
        </w:rPr>
        <w:t xml:space="preserve">, </w:t>
      </w:r>
      <w:r w:rsidRPr="0054645F">
        <w:rPr>
          <w:sz w:val="28"/>
          <w:szCs w:val="28"/>
        </w:rPr>
        <w:t>with both myself and my colleague Michel</w:t>
      </w:r>
      <w:r w:rsidR="00DE3CAA" w:rsidRPr="0054645F">
        <w:rPr>
          <w:sz w:val="28"/>
          <w:szCs w:val="28"/>
        </w:rPr>
        <w:t xml:space="preserve">le conducting the interview. Each interview is recorded – with the grantee’s prior consent - </w:t>
      </w:r>
      <w:r w:rsidRPr="0054645F">
        <w:rPr>
          <w:sz w:val="28"/>
          <w:szCs w:val="28"/>
        </w:rPr>
        <w:t xml:space="preserve">transcribed and sent to the PI for accuracy check. </w:t>
      </w:r>
    </w:p>
    <w:p w:rsidR="008A1607" w:rsidRPr="0054645F" w:rsidRDefault="008A1607" w:rsidP="000C1753">
      <w:pPr>
        <w:rPr>
          <w:sz w:val="28"/>
          <w:szCs w:val="28"/>
          <w:u w:val="single"/>
        </w:rPr>
      </w:pPr>
      <w:r w:rsidRPr="0054645F">
        <w:rPr>
          <w:sz w:val="28"/>
          <w:szCs w:val="28"/>
          <w:u w:val="single"/>
        </w:rPr>
        <w:t xml:space="preserve">Analyses: </w:t>
      </w:r>
    </w:p>
    <w:p w:rsidR="00146956" w:rsidRPr="0054645F" w:rsidRDefault="00D81E9E" w:rsidP="008A1607">
      <w:pPr>
        <w:pStyle w:val="ListParagraph"/>
        <w:numPr>
          <w:ilvl w:val="0"/>
          <w:numId w:val="4"/>
        </w:numPr>
        <w:rPr>
          <w:sz w:val="28"/>
          <w:szCs w:val="28"/>
        </w:rPr>
      </w:pPr>
      <w:r w:rsidRPr="0054645F">
        <w:rPr>
          <w:sz w:val="28"/>
          <w:szCs w:val="28"/>
        </w:rPr>
        <w:t>We</w:t>
      </w:r>
      <w:r w:rsidR="00146956" w:rsidRPr="0054645F">
        <w:rPr>
          <w:sz w:val="28"/>
          <w:szCs w:val="28"/>
        </w:rPr>
        <w:t xml:space="preserve"> code responses in </w:t>
      </w:r>
      <w:r w:rsidR="00DE3CAA" w:rsidRPr="0054645F">
        <w:rPr>
          <w:sz w:val="28"/>
          <w:szCs w:val="28"/>
        </w:rPr>
        <w:t xml:space="preserve">the </w:t>
      </w:r>
      <w:r w:rsidR="00146956" w:rsidRPr="0054645F">
        <w:rPr>
          <w:sz w:val="28"/>
          <w:szCs w:val="28"/>
        </w:rPr>
        <w:t>NVivo</w:t>
      </w:r>
      <w:r w:rsidR="00DE3CAA" w:rsidRPr="0054645F">
        <w:rPr>
          <w:sz w:val="28"/>
          <w:szCs w:val="28"/>
        </w:rPr>
        <w:t xml:space="preserve"> 10 software</w:t>
      </w:r>
      <w:r w:rsidR="00146956" w:rsidRPr="0054645F">
        <w:rPr>
          <w:sz w:val="28"/>
          <w:szCs w:val="28"/>
        </w:rPr>
        <w:t>, and analyze them</w:t>
      </w:r>
      <w:r w:rsidR="008A1607" w:rsidRPr="0054645F">
        <w:rPr>
          <w:sz w:val="28"/>
          <w:szCs w:val="28"/>
        </w:rPr>
        <w:t>, through queries and related processes</w:t>
      </w:r>
      <w:r w:rsidR="00146956" w:rsidRPr="0054645F">
        <w:rPr>
          <w:sz w:val="28"/>
          <w:szCs w:val="28"/>
        </w:rPr>
        <w:t xml:space="preserve">. </w:t>
      </w:r>
    </w:p>
    <w:p w:rsidR="008A1607" w:rsidRPr="0054645F" w:rsidRDefault="008A1607" w:rsidP="008A1607">
      <w:pPr>
        <w:rPr>
          <w:sz w:val="28"/>
          <w:szCs w:val="28"/>
        </w:rPr>
      </w:pPr>
      <w:r w:rsidRPr="0054645F">
        <w:rPr>
          <w:sz w:val="28"/>
          <w:szCs w:val="28"/>
          <w:u w:val="single"/>
        </w:rPr>
        <w:t>Findings</w:t>
      </w:r>
      <w:r w:rsidRPr="0054645F">
        <w:rPr>
          <w:sz w:val="28"/>
          <w:szCs w:val="28"/>
        </w:rPr>
        <w:t xml:space="preserve">: </w:t>
      </w:r>
    </w:p>
    <w:p w:rsidR="008A1607" w:rsidRPr="0054645F" w:rsidRDefault="00146956" w:rsidP="008A1607">
      <w:pPr>
        <w:pStyle w:val="ListParagraph"/>
        <w:numPr>
          <w:ilvl w:val="0"/>
          <w:numId w:val="5"/>
        </w:numPr>
        <w:rPr>
          <w:sz w:val="28"/>
          <w:szCs w:val="28"/>
        </w:rPr>
      </w:pPr>
      <w:r w:rsidRPr="0054645F">
        <w:rPr>
          <w:sz w:val="28"/>
          <w:szCs w:val="28"/>
        </w:rPr>
        <w:t xml:space="preserve">We prepare a </w:t>
      </w:r>
      <w:r w:rsidR="008A1607" w:rsidRPr="0054645F">
        <w:rPr>
          <w:sz w:val="28"/>
          <w:szCs w:val="28"/>
        </w:rPr>
        <w:t xml:space="preserve">flow-chart </w:t>
      </w:r>
      <w:r w:rsidRPr="0054645F">
        <w:rPr>
          <w:sz w:val="28"/>
          <w:szCs w:val="28"/>
        </w:rPr>
        <w:t xml:space="preserve">mapping of the project processes using the NtK </w:t>
      </w:r>
      <w:r w:rsidR="00D81E9E" w:rsidRPr="0054645F">
        <w:rPr>
          <w:sz w:val="28"/>
          <w:szCs w:val="28"/>
        </w:rPr>
        <w:t>tracking</w:t>
      </w:r>
      <w:r w:rsidRPr="0054645F">
        <w:rPr>
          <w:sz w:val="28"/>
          <w:szCs w:val="28"/>
        </w:rPr>
        <w:t xml:space="preserve"> tool as </w:t>
      </w:r>
      <w:r w:rsidR="008A1607" w:rsidRPr="0054645F">
        <w:rPr>
          <w:sz w:val="28"/>
          <w:szCs w:val="28"/>
        </w:rPr>
        <w:t xml:space="preserve">shown </w:t>
      </w:r>
      <w:r w:rsidR="00D81E9E" w:rsidRPr="0054645F">
        <w:rPr>
          <w:sz w:val="28"/>
          <w:szCs w:val="28"/>
        </w:rPr>
        <w:t xml:space="preserve">in Figure 3. </w:t>
      </w:r>
    </w:p>
    <w:p w:rsidR="00D81E9E" w:rsidRPr="0054645F" w:rsidRDefault="00D81E9E" w:rsidP="008A1607">
      <w:pPr>
        <w:pStyle w:val="ListParagraph"/>
        <w:numPr>
          <w:ilvl w:val="0"/>
          <w:numId w:val="5"/>
        </w:numPr>
        <w:rPr>
          <w:sz w:val="28"/>
          <w:szCs w:val="28"/>
        </w:rPr>
      </w:pPr>
      <w:r w:rsidRPr="0054645F">
        <w:rPr>
          <w:sz w:val="28"/>
          <w:szCs w:val="28"/>
        </w:rPr>
        <w:t>We also compile barriers and facilitators and organize them in emerging categories.</w:t>
      </w:r>
    </w:p>
    <w:p w:rsidR="008A1607" w:rsidRPr="0054645F" w:rsidRDefault="008A1607" w:rsidP="0091423A">
      <w:pPr>
        <w:rPr>
          <w:sz w:val="28"/>
          <w:szCs w:val="28"/>
        </w:rPr>
      </w:pPr>
    </w:p>
    <w:p w:rsidR="008A1607" w:rsidRPr="0054645F" w:rsidRDefault="008A1607" w:rsidP="0091423A">
      <w:pPr>
        <w:rPr>
          <w:sz w:val="28"/>
          <w:szCs w:val="28"/>
        </w:rPr>
      </w:pPr>
      <w:r w:rsidRPr="0054645F">
        <w:rPr>
          <w:sz w:val="28"/>
          <w:szCs w:val="28"/>
          <w:u w:val="single"/>
        </w:rPr>
        <w:t>Reporting</w:t>
      </w:r>
      <w:r w:rsidRPr="0054645F">
        <w:rPr>
          <w:sz w:val="28"/>
          <w:szCs w:val="28"/>
        </w:rPr>
        <w:t xml:space="preserve">: </w:t>
      </w:r>
    </w:p>
    <w:p w:rsidR="008A1607" w:rsidRPr="0054645F" w:rsidRDefault="00D81E9E" w:rsidP="008A1607">
      <w:pPr>
        <w:pStyle w:val="ListParagraph"/>
        <w:numPr>
          <w:ilvl w:val="0"/>
          <w:numId w:val="4"/>
        </w:numPr>
        <w:rPr>
          <w:sz w:val="28"/>
          <w:szCs w:val="28"/>
        </w:rPr>
      </w:pPr>
      <w:r w:rsidRPr="0054645F">
        <w:rPr>
          <w:sz w:val="28"/>
          <w:szCs w:val="28"/>
        </w:rPr>
        <w:t xml:space="preserve">We prepare a case report, send it to the PI for accuracy check. These are confidential documents, not for publication. </w:t>
      </w:r>
    </w:p>
    <w:p w:rsidR="000C1753" w:rsidRPr="0054645F" w:rsidRDefault="008A1607" w:rsidP="00DE1CC1">
      <w:pPr>
        <w:pStyle w:val="ListParagraph"/>
        <w:numPr>
          <w:ilvl w:val="0"/>
          <w:numId w:val="4"/>
        </w:numPr>
        <w:rPr>
          <w:sz w:val="28"/>
          <w:szCs w:val="28"/>
        </w:rPr>
      </w:pPr>
      <w:r w:rsidRPr="0054645F">
        <w:rPr>
          <w:sz w:val="28"/>
          <w:szCs w:val="28"/>
        </w:rPr>
        <w:t xml:space="preserve">Collective Case Study Report: </w:t>
      </w:r>
      <w:r w:rsidR="00D81E9E" w:rsidRPr="0054645F">
        <w:rPr>
          <w:sz w:val="28"/>
          <w:szCs w:val="28"/>
        </w:rPr>
        <w:t xml:space="preserve">Then we integrate them into a Collective Case Study report, keeping names and projects anonymous. </w:t>
      </w:r>
    </w:p>
    <w:p w:rsidR="00D81E9E" w:rsidRPr="0054645F" w:rsidRDefault="00D81E9E" w:rsidP="00DE1CC1">
      <w:pPr>
        <w:pStyle w:val="ListParagraph"/>
        <w:numPr>
          <w:ilvl w:val="0"/>
          <w:numId w:val="4"/>
        </w:numPr>
        <w:rPr>
          <w:sz w:val="28"/>
          <w:szCs w:val="28"/>
        </w:rPr>
      </w:pPr>
      <w:r w:rsidRPr="0054645F">
        <w:rPr>
          <w:sz w:val="28"/>
          <w:szCs w:val="28"/>
        </w:rPr>
        <w:t xml:space="preserve">We will make recommendations </w:t>
      </w:r>
      <w:r w:rsidR="008A1607" w:rsidRPr="0054645F">
        <w:rPr>
          <w:sz w:val="28"/>
          <w:szCs w:val="28"/>
        </w:rPr>
        <w:t xml:space="preserve">to </w:t>
      </w:r>
      <w:r w:rsidRPr="0054645F">
        <w:rPr>
          <w:sz w:val="28"/>
          <w:szCs w:val="28"/>
        </w:rPr>
        <w:t>Grantee</w:t>
      </w:r>
      <w:r w:rsidR="008A1607" w:rsidRPr="0054645F">
        <w:rPr>
          <w:sz w:val="28"/>
          <w:szCs w:val="28"/>
        </w:rPr>
        <w:t xml:space="preserve">s on their </w:t>
      </w:r>
      <w:r w:rsidRPr="0054645F">
        <w:rPr>
          <w:sz w:val="28"/>
          <w:szCs w:val="28"/>
        </w:rPr>
        <w:t xml:space="preserve">processes; and </w:t>
      </w:r>
      <w:r w:rsidR="008A1607" w:rsidRPr="0054645F">
        <w:rPr>
          <w:sz w:val="28"/>
          <w:szCs w:val="28"/>
        </w:rPr>
        <w:t xml:space="preserve">we will </w:t>
      </w:r>
      <w:r w:rsidRPr="0054645F">
        <w:rPr>
          <w:sz w:val="28"/>
          <w:szCs w:val="28"/>
        </w:rPr>
        <w:t>inform NIDILRR’s policy concerns.</w:t>
      </w:r>
    </w:p>
    <w:p w:rsidR="008A1607" w:rsidRPr="0054645F" w:rsidRDefault="008A1607" w:rsidP="0091423A">
      <w:pPr>
        <w:rPr>
          <w:b/>
          <w:sz w:val="28"/>
          <w:szCs w:val="28"/>
        </w:rPr>
      </w:pPr>
    </w:p>
    <w:p w:rsidR="008F578C" w:rsidRPr="0054645F" w:rsidRDefault="008F578C" w:rsidP="008F578C">
      <w:pPr>
        <w:jc w:val="center"/>
        <w:rPr>
          <w:b/>
          <w:sz w:val="28"/>
          <w:szCs w:val="28"/>
        </w:rPr>
      </w:pPr>
    </w:p>
    <w:p w:rsidR="007D01A7" w:rsidRDefault="00D81E9E" w:rsidP="0070355C">
      <w:pPr>
        <w:pStyle w:val="Heading1"/>
      </w:pPr>
      <w:r w:rsidRPr="0054645F">
        <w:t>Current Status</w:t>
      </w:r>
    </w:p>
    <w:p w:rsidR="0091423A" w:rsidRPr="0054645F" w:rsidRDefault="008A1607" w:rsidP="0070355C">
      <w:pPr>
        <w:pStyle w:val="Heading1"/>
      </w:pPr>
      <w:r w:rsidRPr="0054645F">
        <w:t>(Slide 9)</w:t>
      </w:r>
    </w:p>
    <w:p w:rsidR="008F578C" w:rsidRPr="0054645F" w:rsidRDefault="008F578C" w:rsidP="0091423A">
      <w:pPr>
        <w:rPr>
          <w:sz w:val="28"/>
          <w:szCs w:val="28"/>
        </w:rPr>
      </w:pPr>
    </w:p>
    <w:p w:rsidR="008A1607" w:rsidRPr="0054645F" w:rsidRDefault="00D81E9E" w:rsidP="0091423A">
      <w:pPr>
        <w:rPr>
          <w:sz w:val="28"/>
          <w:szCs w:val="28"/>
        </w:rPr>
      </w:pPr>
      <w:r w:rsidRPr="0054645F">
        <w:rPr>
          <w:sz w:val="28"/>
          <w:szCs w:val="28"/>
        </w:rPr>
        <w:t xml:space="preserve">So far we have completed 3 case reports. Finished data collection (interviews) with 9 cases. </w:t>
      </w:r>
    </w:p>
    <w:p w:rsidR="008A1607" w:rsidRPr="0054645F" w:rsidRDefault="008A1607" w:rsidP="0091423A">
      <w:pPr>
        <w:rPr>
          <w:sz w:val="28"/>
          <w:szCs w:val="28"/>
        </w:rPr>
      </w:pPr>
    </w:p>
    <w:p w:rsidR="000C1753" w:rsidRPr="0054645F" w:rsidRDefault="00D81E9E" w:rsidP="0091423A">
      <w:pPr>
        <w:rPr>
          <w:sz w:val="28"/>
          <w:szCs w:val="28"/>
        </w:rPr>
      </w:pPr>
      <w:r w:rsidRPr="0054645F">
        <w:rPr>
          <w:sz w:val="28"/>
          <w:szCs w:val="28"/>
        </w:rPr>
        <w:t xml:space="preserve">The rest of the work is ongoing – both data collection </w:t>
      </w:r>
      <w:r w:rsidR="000C1753" w:rsidRPr="0054645F">
        <w:rPr>
          <w:sz w:val="28"/>
          <w:szCs w:val="28"/>
        </w:rPr>
        <w:t>and analysis being simultaneous</w:t>
      </w:r>
      <w:r w:rsidR="003E2887" w:rsidRPr="0054645F">
        <w:rPr>
          <w:sz w:val="28"/>
          <w:szCs w:val="28"/>
        </w:rPr>
        <w:t xml:space="preserve"> for case</w:t>
      </w:r>
      <w:r w:rsidR="00155A8B" w:rsidRPr="0054645F">
        <w:rPr>
          <w:sz w:val="28"/>
          <w:szCs w:val="28"/>
        </w:rPr>
        <w:t>s as applicable</w:t>
      </w:r>
      <w:r w:rsidR="003E2887" w:rsidRPr="0054645F">
        <w:rPr>
          <w:sz w:val="28"/>
          <w:szCs w:val="28"/>
        </w:rPr>
        <w:t xml:space="preserve">. </w:t>
      </w:r>
    </w:p>
    <w:p w:rsidR="00D81E9E" w:rsidRPr="0054645F" w:rsidRDefault="000C1753" w:rsidP="0091423A">
      <w:pPr>
        <w:rPr>
          <w:sz w:val="28"/>
          <w:szCs w:val="28"/>
        </w:rPr>
      </w:pPr>
      <w:r w:rsidRPr="0054645F">
        <w:rPr>
          <w:sz w:val="28"/>
          <w:szCs w:val="28"/>
        </w:rPr>
        <w:t xml:space="preserve">We </w:t>
      </w:r>
      <w:r w:rsidR="00D81E9E" w:rsidRPr="0054645F">
        <w:rPr>
          <w:sz w:val="28"/>
          <w:szCs w:val="28"/>
        </w:rPr>
        <w:t>hope</w:t>
      </w:r>
      <w:r w:rsidR="008A1607" w:rsidRPr="0054645F">
        <w:rPr>
          <w:sz w:val="28"/>
          <w:szCs w:val="28"/>
        </w:rPr>
        <w:t xml:space="preserve"> to end when their projects end, so </w:t>
      </w:r>
      <w:r w:rsidRPr="0054645F">
        <w:rPr>
          <w:sz w:val="28"/>
          <w:szCs w:val="28"/>
        </w:rPr>
        <w:t xml:space="preserve">that </w:t>
      </w:r>
      <w:r w:rsidR="008A1607" w:rsidRPr="0054645F">
        <w:rPr>
          <w:sz w:val="28"/>
          <w:szCs w:val="28"/>
        </w:rPr>
        <w:t xml:space="preserve">we </w:t>
      </w:r>
      <w:r w:rsidRPr="0054645F">
        <w:rPr>
          <w:sz w:val="28"/>
          <w:szCs w:val="28"/>
        </w:rPr>
        <w:t xml:space="preserve">complete </w:t>
      </w:r>
      <w:r w:rsidR="008A1607" w:rsidRPr="0054645F">
        <w:rPr>
          <w:sz w:val="28"/>
          <w:szCs w:val="28"/>
        </w:rPr>
        <w:t xml:space="preserve">both the project’s implementation pattern map and their </w:t>
      </w:r>
      <w:r w:rsidR="008F3C9F" w:rsidRPr="0054645F">
        <w:rPr>
          <w:sz w:val="28"/>
          <w:szCs w:val="28"/>
        </w:rPr>
        <w:t xml:space="preserve">categorized </w:t>
      </w:r>
      <w:r w:rsidR="008A1607" w:rsidRPr="0054645F">
        <w:rPr>
          <w:sz w:val="28"/>
          <w:szCs w:val="28"/>
        </w:rPr>
        <w:t xml:space="preserve">barrier and facilitator </w:t>
      </w:r>
      <w:r w:rsidR="008F3C9F" w:rsidRPr="0054645F">
        <w:rPr>
          <w:sz w:val="28"/>
          <w:szCs w:val="28"/>
        </w:rPr>
        <w:t>descriptions and get grantee checks on the accuracy of each case report.</w:t>
      </w:r>
    </w:p>
    <w:p w:rsidR="008F3C9F" w:rsidRPr="0054645F" w:rsidRDefault="008F3C9F" w:rsidP="0091423A">
      <w:pPr>
        <w:rPr>
          <w:b/>
          <w:i/>
          <w:sz w:val="28"/>
          <w:szCs w:val="28"/>
        </w:rPr>
      </w:pPr>
    </w:p>
    <w:p w:rsidR="00D81E9E" w:rsidRPr="0054645F" w:rsidRDefault="008F3C9F" w:rsidP="0091423A">
      <w:pPr>
        <w:rPr>
          <w:b/>
          <w:i/>
          <w:sz w:val="28"/>
          <w:szCs w:val="28"/>
        </w:rPr>
      </w:pPr>
      <w:r w:rsidRPr="0054645F">
        <w:rPr>
          <w:b/>
          <w:i/>
          <w:sz w:val="28"/>
          <w:szCs w:val="28"/>
        </w:rPr>
        <w:t xml:space="preserve">Our </w:t>
      </w:r>
      <w:r w:rsidR="00D81E9E" w:rsidRPr="0054645F">
        <w:rPr>
          <w:b/>
          <w:i/>
          <w:sz w:val="28"/>
          <w:szCs w:val="28"/>
        </w:rPr>
        <w:t xml:space="preserve">Next Steps: </w:t>
      </w:r>
    </w:p>
    <w:p w:rsidR="0091423A" w:rsidRPr="0054645F" w:rsidRDefault="003E2887" w:rsidP="0091423A">
      <w:pPr>
        <w:rPr>
          <w:sz w:val="28"/>
          <w:szCs w:val="28"/>
        </w:rPr>
      </w:pPr>
      <w:r w:rsidRPr="0054645F">
        <w:rPr>
          <w:sz w:val="28"/>
          <w:szCs w:val="28"/>
        </w:rPr>
        <w:t xml:space="preserve">We are </w:t>
      </w:r>
      <w:r w:rsidR="008F3C9F" w:rsidRPr="0054645F">
        <w:rPr>
          <w:sz w:val="28"/>
          <w:szCs w:val="28"/>
        </w:rPr>
        <w:t>therefore</w:t>
      </w:r>
      <w:r w:rsidRPr="0054645F">
        <w:rPr>
          <w:sz w:val="28"/>
          <w:szCs w:val="28"/>
        </w:rPr>
        <w:t xml:space="preserve"> </w:t>
      </w:r>
      <w:r w:rsidR="008F3C9F" w:rsidRPr="0054645F">
        <w:rPr>
          <w:sz w:val="28"/>
          <w:szCs w:val="28"/>
        </w:rPr>
        <w:t>d</w:t>
      </w:r>
      <w:r w:rsidR="00D81E9E" w:rsidRPr="0054645F">
        <w:rPr>
          <w:sz w:val="28"/>
          <w:szCs w:val="28"/>
        </w:rPr>
        <w:t>evelop</w:t>
      </w:r>
      <w:r w:rsidRPr="0054645F">
        <w:rPr>
          <w:sz w:val="28"/>
          <w:szCs w:val="28"/>
        </w:rPr>
        <w:t>ing</w:t>
      </w:r>
      <w:r w:rsidR="00D81E9E" w:rsidRPr="0054645F">
        <w:rPr>
          <w:sz w:val="28"/>
          <w:szCs w:val="28"/>
        </w:rPr>
        <w:t xml:space="preserve"> our </w:t>
      </w:r>
      <w:r w:rsidR="008F3C9F" w:rsidRPr="0054645F">
        <w:rPr>
          <w:sz w:val="28"/>
          <w:szCs w:val="28"/>
        </w:rPr>
        <w:t xml:space="preserve">own </w:t>
      </w:r>
      <w:r w:rsidR="00D81E9E" w:rsidRPr="0054645F">
        <w:rPr>
          <w:sz w:val="28"/>
          <w:szCs w:val="28"/>
        </w:rPr>
        <w:t xml:space="preserve">plan to </w:t>
      </w:r>
      <w:r w:rsidR="008F3C9F" w:rsidRPr="0054645F">
        <w:rPr>
          <w:sz w:val="28"/>
          <w:szCs w:val="28"/>
        </w:rPr>
        <w:t xml:space="preserve">continue tracking the projects through their no-cost-extension arrangements or new funding, </w:t>
      </w:r>
      <w:r w:rsidR="008F578C" w:rsidRPr="0054645F">
        <w:rPr>
          <w:sz w:val="28"/>
          <w:szCs w:val="28"/>
        </w:rPr>
        <w:t xml:space="preserve">as </w:t>
      </w:r>
      <w:r w:rsidR="008F3C9F" w:rsidRPr="0054645F">
        <w:rPr>
          <w:sz w:val="28"/>
          <w:szCs w:val="28"/>
        </w:rPr>
        <w:t>feasible</w:t>
      </w:r>
      <w:r w:rsidRPr="0054645F">
        <w:rPr>
          <w:sz w:val="28"/>
          <w:szCs w:val="28"/>
        </w:rPr>
        <w:t xml:space="preserve"> – so we complete the Collective Case Study Report, give feedback to Grantees and inform NIDILRR’s policy concerns.</w:t>
      </w:r>
    </w:p>
    <w:p w:rsidR="0091423A" w:rsidRPr="0054645F" w:rsidRDefault="0091423A" w:rsidP="0091423A">
      <w:pPr>
        <w:rPr>
          <w:sz w:val="28"/>
          <w:szCs w:val="28"/>
        </w:rPr>
      </w:pPr>
    </w:p>
    <w:p w:rsidR="002D01A1" w:rsidRPr="0070355C" w:rsidRDefault="007D01A7" w:rsidP="0070355C">
      <w:pPr>
        <w:pStyle w:val="Heading1"/>
        <w:spacing w:after="120"/>
        <w:rPr>
          <w:u w:val="single"/>
        </w:rPr>
      </w:pPr>
      <w:r w:rsidRPr="0070355C">
        <w:rPr>
          <w:u w:val="single"/>
        </w:rPr>
        <w:t>REFERENCES</w:t>
      </w:r>
    </w:p>
    <w:p w:rsidR="007D01A7" w:rsidRPr="007D01A7" w:rsidRDefault="007D01A7" w:rsidP="0070355C">
      <w:pPr>
        <w:pStyle w:val="Heading1"/>
        <w:spacing w:after="240"/>
      </w:pPr>
      <w:r w:rsidRPr="007D01A7">
        <w:t>(Slide 10)</w:t>
      </w:r>
    </w:p>
    <w:p w:rsidR="00BB4C44" w:rsidRPr="002901C4" w:rsidRDefault="00BB4C44" w:rsidP="00BB4C44">
      <w:pPr>
        <w:numPr>
          <w:ilvl w:val="0"/>
          <w:numId w:val="3"/>
        </w:numPr>
        <w:spacing w:after="200" w:line="276" w:lineRule="auto"/>
        <w:rPr>
          <w:sz w:val="28"/>
          <w:szCs w:val="28"/>
        </w:rPr>
      </w:pPr>
      <w:r w:rsidRPr="002901C4">
        <w:rPr>
          <w:sz w:val="28"/>
          <w:szCs w:val="28"/>
        </w:rPr>
        <w:t>ACL/</w:t>
      </w:r>
      <w:r w:rsidR="001727AD" w:rsidRPr="002901C4">
        <w:rPr>
          <w:sz w:val="28"/>
          <w:szCs w:val="28"/>
        </w:rPr>
        <w:t>NIDILRR (2017)</w:t>
      </w:r>
      <w:r w:rsidRPr="002901C4">
        <w:rPr>
          <w:sz w:val="28"/>
          <w:szCs w:val="28"/>
        </w:rPr>
        <w:t xml:space="preserve">. </w:t>
      </w:r>
      <w:r w:rsidR="001727AD" w:rsidRPr="002901C4">
        <w:rPr>
          <w:sz w:val="28"/>
          <w:szCs w:val="28"/>
          <w:u w:val="single"/>
        </w:rPr>
        <w:t>Draft Long-</w:t>
      </w:r>
      <w:r w:rsidRPr="002901C4">
        <w:rPr>
          <w:sz w:val="28"/>
          <w:szCs w:val="28"/>
          <w:u w:val="single"/>
        </w:rPr>
        <w:t>Range Plan</w:t>
      </w:r>
      <w:r w:rsidR="001727AD" w:rsidRPr="002901C4">
        <w:rPr>
          <w:sz w:val="28"/>
          <w:szCs w:val="28"/>
          <w:u w:val="single"/>
        </w:rPr>
        <w:t xml:space="preserve"> f</w:t>
      </w:r>
      <w:r w:rsidRPr="002901C4">
        <w:rPr>
          <w:sz w:val="28"/>
          <w:szCs w:val="28"/>
          <w:u w:val="single"/>
        </w:rPr>
        <w:t>or the period 2018-2023</w:t>
      </w:r>
      <w:r w:rsidR="001727AD" w:rsidRPr="002901C4">
        <w:rPr>
          <w:sz w:val="28"/>
          <w:szCs w:val="28"/>
        </w:rPr>
        <w:t xml:space="preserve">. PDF Document </w:t>
      </w:r>
      <w:r w:rsidRPr="002901C4">
        <w:rPr>
          <w:sz w:val="28"/>
          <w:szCs w:val="28"/>
        </w:rPr>
        <w:t>for public comments (pp.1-33)</w:t>
      </w:r>
      <w:r w:rsidR="00800138" w:rsidRPr="002901C4">
        <w:rPr>
          <w:sz w:val="28"/>
          <w:szCs w:val="28"/>
        </w:rPr>
        <w:t xml:space="preserve">. Retrieved </w:t>
      </w:r>
      <w:r w:rsidR="001727AD" w:rsidRPr="002901C4">
        <w:rPr>
          <w:sz w:val="28"/>
          <w:szCs w:val="28"/>
        </w:rPr>
        <w:t xml:space="preserve">through </w:t>
      </w:r>
      <w:hyperlink r:id="rId8" w:history="1">
        <w:r w:rsidR="001727AD" w:rsidRPr="002901C4">
          <w:rPr>
            <w:rStyle w:val="Hyperlink"/>
            <w:color w:val="auto"/>
            <w:sz w:val="28"/>
            <w:szCs w:val="28"/>
          </w:rPr>
          <w:t>NIDILRR-announcements@naric.com</w:t>
        </w:r>
      </w:hyperlink>
      <w:r w:rsidR="001727AD" w:rsidRPr="002901C4">
        <w:rPr>
          <w:sz w:val="28"/>
          <w:szCs w:val="28"/>
        </w:rPr>
        <w:t>, January 19, 2017</w:t>
      </w:r>
    </w:p>
    <w:p w:rsidR="009715C8" w:rsidRPr="0054645F" w:rsidRDefault="00242D1F" w:rsidP="002D01A1">
      <w:pPr>
        <w:numPr>
          <w:ilvl w:val="0"/>
          <w:numId w:val="3"/>
        </w:numPr>
        <w:spacing w:after="200" w:line="276" w:lineRule="auto"/>
        <w:rPr>
          <w:sz w:val="28"/>
          <w:szCs w:val="28"/>
        </w:rPr>
      </w:pPr>
      <w:r w:rsidRPr="00242D1F">
        <w:rPr>
          <w:sz w:val="28"/>
          <w:szCs w:val="28"/>
        </w:rPr>
        <w:t>Canadian Institutes of Health Research</w:t>
      </w:r>
      <w:r>
        <w:rPr>
          <w:sz w:val="28"/>
          <w:szCs w:val="28"/>
        </w:rPr>
        <w:t xml:space="preserve"> (</w:t>
      </w:r>
      <w:r w:rsidR="00053489" w:rsidRPr="0054645F">
        <w:rPr>
          <w:sz w:val="28"/>
          <w:szCs w:val="28"/>
        </w:rPr>
        <w:t>CIHR</w:t>
      </w:r>
      <w:r>
        <w:rPr>
          <w:sz w:val="28"/>
          <w:szCs w:val="28"/>
        </w:rPr>
        <w:t>)</w:t>
      </w:r>
      <w:r w:rsidR="00053489" w:rsidRPr="0054645F">
        <w:rPr>
          <w:sz w:val="28"/>
          <w:szCs w:val="28"/>
        </w:rPr>
        <w:t xml:space="preserve">. </w:t>
      </w:r>
      <w:r w:rsidR="00053489" w:rsidRPr="0054645F">
        <w:rPr>
          <w:i/>
          <w:iCs/>
          <w:sz w:val="28"/>
          <w:szCs w:val="28"/>
        </w:rPr>
        <w:t xml:space="preserve">About knowledge translation. </w:t>
      </w:r>
      <w:r w:rsidR="00053489" w:rsidRPr="0054645F">
        <w:rPr>
          <w:sz w:val="28"/>
          <w:szCs w:val="28"/>
        </w:rPr>
        <w:t>Retrieved October 25, 2009, from</w:t>
      </w:r>
      <w:hyperlink r:id="rId9" w:history="1">
        <w:r w:rsidR="00053489" w:rsidRPr="0054645F">
          <w:rPr>
            <w:rStyle w:val="Hyperlink"/>
            <w:color w:val="auto"/>
            <w:sz w:val="28"/>
            <w:szCs w:val="28"/>
          </w:rPr>
          <w:t xml:space="preserve"> http://</w:t>
        </w:r>
      </w:hyperlink>
      <w:hyperlink r:id="rId10" w:history="1">
        <w:r w:rsidR="00053489" w:rsidRPr="0054645F">
          <w:rPr>
            <w:rStyle w:val="Hyperlink"/>
            <w:color w:val="auto"/>
            <w:sz w:val="28"/>
            <w:szCs w:val="28"/>
          </w:rPr>
          <w:t>www.cihr-irsc.gc.ca/e/29418.html</w:t>
        </w:r>
      </w:hyperlink>
    </w:p>
    <w:p w:rsidR="009715C8" w:rsidRPr="0054645F" w:rsidRDefault="00053489" w:rsidP="002D01A1">
      <w:pPr>
        <w:numPr>
          <w:ilvl w:val="0"/>
          <w:numId w:val="3"/>
        </w:numPr>
        <w:spacing w:after="200" w:line="276" w:lineRule="auto"/>
        <w:rPr>
          <w:sz w:val="28"/>
          <w:szCs w:val="28"/>
        </w:rPr>
      </w:pPr>
      <w:r w:rsidRPr="0054645F">
        <w:rPr>
          <w:sz w:val="28"/>
          <w:szCs w:val="28"/>
        </w:rPr>
        <w:t>Flagg, J.L., Lane, J.P., &amp; Lockett M.M.  </w:t>
      </w:r>
      <w:hyperlink r:id="rId11" w:history="1">
        <w:r w:rsidRPr="0054645F">
          <w:rPr>
            <w:rStyle w:val="Hyperlink"/>
            <w:color w:val="auto"/>
            <w:sz w:val="28"/>
            <w:szCs w:val="28"/>
          </w:rPr>
          <w:t>Need to Knowledge (NtK) Model: an evidence-based framework for generating technological innovations with socio-economic impacts</w:t>
        </w:r>
      </w:hyperlink>
      <w:r w:rsidRPr="0054645F">
        <w:rPr>
          <w:sz w:val="28"/>
          <w:szCs w:val="28"/>
        </w:rPr>
        <w:t xml:space="preserve">, </w:t>
      </w:r>
      <w:r w:rsidRPr="0054645F">
        <w:rPr>
          <w:i/>
          <w:iCs/>
          <w:sz w:val="28"/>
          <w:szCs w:val="28"/>
        </w:rPr>
        <w:t> Implementation Science 2013</w:t>
      </w:r>
      <w:r w:rsidRPr="0054645F">
        <w:rPr>
          <w:sz w:val="28"/>
          <w:szCs w:val="28"/>
        </w:rPr>
        <w:t>, </w:t>
      </w:r>
      <w:r w:rsidRPr="0054645F">
        <w:rPr>
          <w:b/>
          <w:bCs/>
          <w:sz w:val="28"/>
          <w:szCs w:val="28"/>
        </w:rPr>
        <w:t>8</w:t>
      </w:r>
      <w:r w:rsidRPr="0054645F">
        <w:rPr>
          <w:sz w:val="28"/>
          <w:szCs w:val="28"/>
        </w:rPr>
        <w:t>:21.</w:t>
      </w:r>
    </w:p>
    <w:p w:rsidR="009715C8" w:rsidRPr="0054645F" w:rsidRDefault="00053489" w:rsidP="002D01A1">
      <w:pPr>
        <w:numPr>
          <w:ilvl w:val="0"/>
          <w:numId w:val="3"/>
        </w:numPr>
        <w:spacing w:after="200" w:line="276" w:lineRule="auto"/>
        <w:rPr>
          <w:sz w:val="28"/>
          <w:szCs w:val="28"/>
        </w:rPr>
      </w:pPr>
      <w:r w:rsidRPr="0054645F">
        <w:rPr>
          <w:sz w:val="28"/>
          <w:szCs w:val="28"/>
        </w:rPr>
        <w:t xml:space="preserve">Graham, I.D., Logan, J., Harrison, M.B., Straus, S.E., Tetroe, J., Caswell, W., &amp; Robinson, N. (2006). Lost in translation: time for a map? </w:t>
      </w:r>
      <w:r w:rsidRPr="0054645F">
        <w:rPr>
          <w:i/>
          <w:iCs/>
          <w:sz w:val="28"/>
          <w:szCs w:val="28"/>
        </w:rPr>
        <w:t>The Journal of Continuing Education in the Health Professions, 26</w:t>
      </w:r>
      <w:r w:rsidRPr="0054645F">
        <w:rPr>
          <w:sz w:val="28"/>
          <w:szCs w:val="28"/>
        </w:rPr>
        <w:t xml:space="preserve">(1), 13-24. </w:t>
      </w:r>
    </w:p>
    <w:p w:rsidR="009715C8" w:rsidRPr="0054645F" w:rsidRDefault="00053489" w:rsidP="002D01A1">
      <w:pPr>
        <w:numPr>
          <w:ilvl w:val="0"/>
          <w:numId w:val="3"/>
        </w:numPr>
        <w:spacing w:after="200" w:line="276" w:lineRule="auto"/>
        <w:rPr>
          <w:sz w:val="28"/>
          <w:szCs w:val="28"/>
        </w:rPr>
      </w:pPr>
      <w:r w:rsidRPr="0054645F">
        <w:rPr>
          <w:sz w:val="28"/>
          <w:szCs w:val="28"/>
        </w:rPr>
        <w:t xml:space="preserve">Lane, J.P. &amp; Flagg, J.L. (2010). </w:t>
      </w:r>
      <w:r w:rsidRPr="0054645F">
        <w:rPr>
          <w:i/>
          <w:iCs/>
          <w:sz w:val="28"/>
          <w:szCs w:val="28"/>
          <w:lang w:val="en-GB"/>
        </w:rPr>
        <w:t xml:space="preserve">Translating three states of knowledge: Discovery, invention &amp; innovation. </w:t>
      </w:r>
      <w:r w:rsidRPr="0054645F">
        <w:rPr>
          <w:sz w:val="28"/>
          <w:szCs w:val="28"/>
          <w:lang w:val="en-GB"/>
        </w:rPr>
        <w:t xml:space="preserve">Implementation Science. </w:t>
      </w:r>
      <w:hyperlink r:id="rId12" w:history="1">
        <w:r w:rsidRPr="0054645F">
          <w:rPr>
            <w:rStyle w:val="Hyperlink"/>
            <w:color w:val="auto"/>
            <w:sz w:val="28"/>
            <w:szCs w:val="28"/>
          </w:rPr>
          <w:t>http://</w:t>
        </w:r>
      </w:hyperlink>
      <w:hyperlink r:id="rId13" w:history="1">
        <w:r w:rsidRPr="0054645F">
          <w:rPr>
            <w:rStyle w:val="Hyperlink"/>
            <w:color w:val="auto"/>
            <w:sz w:val="28"/>
            <w:szCs w:val="28"/>
          </w:rPr>
          <w:t>www.implementationscience.com/content/5/1/9</w:t>
        </w:r>
      </w:hyperlink>
    </w:p>
    <w:p w:rsidR="009715C8" w:rsidRPr="0054645F" w:rsidRDefault="00053489" w:rsidP="002D01A1">
      <w:pPr>
        <w:numPr>
          <w:ilvl w:val="0"/>
          <w:numId w:val="3"/>
        </w:numPr>
        <w:spacing w:after="200" w:line="276" w:lineRule="auto"/>
        <w:rPr>
          <w:sz w:val="28"/>
          <w:szCs w:val="28"/>
        </w:rPr>
      </w:pPr>
      <w:r w:rsidRPr="0054645F">
        <w:rPr>
          <w:sz w:val="28"/>
          <w:szCs w:val="28"/>
        </w:rPr>
        <w:t xml:space="preserve">NCATS/NIH (2015). </w:t>
      </w:r>
      <w:hyperlink r:id="rId14" w:history="1">
        <w:r w:rsidRPr="0054645F">
          <w:rPr>
            <w:rStyle w:val="Hyperlink"/>
            <w:color w:val="auto"/>
            <w:sz w:val="28"/>
            <w:szCs w:val="28"/>
          </w:rPr>
          <w:t>https://</w:t>
        </w:r>
      </w:hyperlink>
      <w:hyperlink r:id="rId15" w:history="1">
        <w:r w:rsidRPr="0054645F">
          <w:rPr>
            <w:rStyle w:val="Hyperlink"/>
            <w:color w:val="auto"/>
            <w:sz w:val="28"/>
            <w:szCs w:val="28"/>
          </w:rPr>
          <w:t>ncats.nih.gov/translation/spectrum</w:t>
        </w:r>
      </w:hyperlink>
      <w:r w:rsidRPr="0054645F">
        <w:rPr>
          <w:sz w:val="28"/>
          <w:szCs w:val="28"/>
          <w:u w:val="single"/>
        </w:rPr>
        <w:t xml:space="preserve"> </w:t>
      </w:r>
    </w:p>
    <w:p w:rsidR="002D01A1" w:rsidRPr="0054645F" w:rsidRDefault="002D01A1" w:rsidP="008A323E">
      <w:pPr>
        <w:pStyle w:val="ListParagraph"/>
        <w:numPr>
          <w:ilvl w:val="0"/>
          <w:numId w:val="3"/>
        </w:numPr>
        <w:spacing w:after="200" w:line="360" w:lineRule="auto"/>
        <w:rPr>
          <w:sz w:val="28"/>
          <w:szCs w:val="28"/>
        </w:rPr>
      </w:pPr>
      <w:r w:rsidRPr="0054645F">
        <w:rPr>
          <w:sz w:val="28"/>
          <w:szCs w:val="28"/>
        </w:rPr>
        <w:lastRenderedPageBreak/>
        <w:t xml:space="preserve">NIEHS (2016). Draft Translational Research Framework for Environmental Health Sciences. Retrieved from </w:t>
      </w:r>
      <w:r w:rsidRPr="0054645F">
        <w:rPr>
          <w:i/>
          <w:iCs/>
          <w:sz w:val="28"/>
          <w:szCs w:val="28"/>
        </w:rPr>
        <w:t>partners.niehs.nih.gov/assets/docs/draft_translational_research_framework_508.pdf</w:t>
      </w:r>
      <w:hyperlink r:id="rId16" w:history="1">
        <w:r w:rsidRPr="0054645F">
          <w:rPr>
            <w:rStyle w:val="Hyperlink"/>
            <w:color w:val="auto"/>
            <w:sz w:val="28"/>
            <w:szCs w:val="28"/>
          </w:rPr>
          <w:t>Cached</w:t>
        </w:r>
      </w:hyperlink>
      <w:r w:rsidR="008A323E" w:rsidRPr="0054645F">
        <w:rPr>
          <w:sz w:val="28"/>
          <w:szCs w:val="28"/>
        </w:rPr>
        <w:t xml:space="preserve"> </w:t>
      </w:r>
      <w:r w:rsidRPr="0054645F">
        <w:rPr>
          <w:sz w:val="28"/>
          <w:szCs w:val="28"/>
        </w:rPr>
        <w:t xml:space="preserve">Aug 30, 2016 </w:t>
      </w:r>
    </w:p>
    <w:p w:rsidR="002D01A1" w:rsidRPr="0054645F" w:rsidRDefault="002D01A1" w:rsidP="008A323E">
      <w:pPr>
        <w:pStyle w:val="ListParagraph"/>
        <w:numPr>
          <w:ilvl w:val="0"/>
          <w:numId w:val="3"/>
        </w:numPr>
        <w:spacing w:after="200" w:line="360" w:lineRule="auto"/>
        <w:rPr>
          <w:sz w:val="28"/>
          <w:szCs w:val="28"/>
        </w:rPr>
      </w:pPr>
      <w:r w:rsidRPr="0054645F">
        <w:rPr>
          <w:sz w:val="28"/>
          <w:szCs w:val="28"/>
        </w:rPr>
        <w:t xml:space="preserve">Stake, R (1995). The art of </w:t>
      </w:r>
      <w:r w:rsidRPr="0054645F">
        <w:rPr>
          <w:i/>
          <w:iCs/>
          <w:sz w:val="28"/>
          <w:szCs w:val="28"/>
        </w:rPr>
        <w:t>case study</w:t>
      </w:r>
      <w:r w:rsidRPr="0054645F">
        <w:rPr>
          <w:sz w:val="28"/>
          <w:szCs w:val="28"/>
        </w:rPr>
        <w:t xml:space="preserve"> research. (pp. 49-68). Thousand Oaks, CA: Sage</w:t>
      </w:r>
    </w:p>
    <w:p w:rsidR="00DE18F5" w:rsidRPr="0054645F" w:rsidRDefault="00DE18F5" w:rsidP="008A323E">
      <w:pPr>
        <w:pStyle w:val="ListParagraph"/>
        <w:numPr>
          <w:ilvl w:val="0"/>
          <w:numId w:val="3"/>
        </w:numPr>
        <w:spacing w:after="200" w:line="360" w:lineRule="auto"/>
        <w:rPr>
          <w:sz w:val="28"/>
          <w:szCs w:val="28"/>
        </w:rPr>
      </w:pPr>
      <w:r w:rsidRPr="0054645F">
        <w:rPr>
          <w:sz w:val="28"/>
          <w:szCs w:val="28"/>
        </w:rPr>
        <w:t xml:space="preserve"> Stake, R (2003).</w:t>
      </w:r>
      <w:r w:rsidR="00D53800" w:rsidRPr="0054645F">
        <w:rPr>
          <w:sz w:val="28"/>
          <w:szCs w:val="28"/>
        </w:rPr>
        <w:t xml:space="preserve"> Case Studies. In: Denzin, N. K &amp; Lincoln, Y.</w:t>
      </w:r>
      <w:r w:rsidR="001160B7">
        <w:rPr>
          <w:sz w:val="28"/>
          <w:szCs w:val="28"/>
        </w:rPr>
        <w:t xml:space="preserve"> </w:t>
      </w:r>
      <w:r w:rsidR="00D53800" w:rsidRPr="0054645F">
        <w:rPr>
          <w:sz w:val="28"/>
          <w:szCs w:val="28"/>
        </w:rPr>
        <w:t>(2003) (Eds.) Strategies of Qualitative Inquiry (2</w:t>
      </w:r>
      <w:r w:rsidR="00D53800" w:rsidRPr="0054645F">
        <w:rPr>
          <w:sz w:val="28"/>
          <w:szCs w:val="28"/>
          <w:vertAlign w:val="superscript"/>
        </w:rPr>
        <w:t>nd</w:t>
      </w:r>
      <w:r w:rsidR="00D53800" w:rsidRPr="0054645F">
        <w:rPr>
          <w:sz w:val="28"/>
          <w:szCs w:val="28"/>
        </w:rPr>
        <w:t>. Ed.).</w:t>
      </w:r>
      <w:r w:rsidR="001160B7">
        <w:rPr>
          <w:sz w:val="28"/>
          <w:szCs w:val="28"/>
        </w:rPr>
        <w:t xml:space="preserve"> </w:t>
      </w:r>
      <w:r w:rsidR="00D53800" w:rsidRPr="0054645F">
        <w:rPr>
          <w:sz w:val="28"/>
          <w:szCs w:val="28"/>
        </w:rPr>
        <w:t>Thousand Oaks: Sage. (pp.134-164)</w:t>
      </w:r>
    </w:p>
    <w:p w:rsidR="002D01A1" w:rsidRPr="0054645F" w:rsidRDefault="002D01A1" w:rsidP="002D01A1">
      <w:pPr>
        <w:pStyle w:val="ListParagraph"/>
        <w:numPr>
          <w:ilvl w:val="0"/>
          <w:numId w:val="3"/>
        </w:numPr>
        <w:spacing w:after="200" w:line="276" w:lineRule="auto"/>
        <w:rPr>
          <w:sz w:val="28"/>
          <w:szCs w:val="28"/>
        </w:rPr>
      </w:pPr>
      <w:r w:rsidRPr="0054645F">
        <w:rPr>
          <w:sz w:val="28"/>
          <w:szCs w:val="28"/>
        </w:rPr>
        <w:t>Stone, V.I., &amp; Lane, J.P.  </w:t>
      </w:r>
      <w:hyperlink r:id="rId17" w:history="1">
        <w:r w:rsidRPr="0054645F">
          <w:rPr>
            <w:rStyle w:val="Hyperlink"/>
            <w:color w:val="auto"/>
            <w:sz w:val="28"/>
            <w:szCs w:val="28"/>
          </w:rPr>
          <w:t>Modeling technology innovation: How science, engineering, and industry methods can combine to generate beneficial socioeconomic impacts</w:t>
        </w:r>
      </w:hyperlink>
      <w:r w:rsidRPr="0054645F">
        <w:rPr>
          <w:sz w:val="28"/>
          <w:szCs w:val="28"/>
        </w:rPr>
        <w:t>, </w:t>
      </w:r>
      <w:r w:rsidRPr="0054645F">
        <w:rPr>
          <w:i/>
          <w:iCs/>
          <w:sz w:val="28"/>
          <w:szCs w:val="28"/>
        </w:rPr>
        <w:t>Implementation Science</w:t>
      </w:r>
      <w:r w:rsidRPr="0054645F">
        <w:rPr>
          <w:sz w:val="28"/>
          <w:szCs w:val="28"/>
        </w:rPr>
        <w:t>, 2012, </w:t>
      </w:r>
      <w:r w:rsidRPr="0054645F">
        <w:rPr>
          <w:b/>
          <w:bCs/>
          <w:sz w:val="28"/>
          <w:szCs w:val="28"/>
        </w:rPr>
        <w:t>7</w:t>
      </w:r>
      <w:r w:rsidRPr="0054645F">
        <w:rPr>
          <w:sz w:val="28"/>
          <w:szCs w:val="28"/>
        </w:rPr>
        <w:t>:44.</w:t>
      </w:r>
    </w:p>
    <w:p w:rsidR="002D01A1" w:rsidRPr="0054645F" w:rsidRDefault="002D01A1" w:rsidP="002D01A1">
      <w:pPr>
        <w:pStyle w:val="ListParagraph"/>
        <w:numPr>
          <w:ilvl w:val="0"/>
          <w:numId w:val="3"/>
        </w:numPr>
        <w:spacing w:after="200" w:line="276" w:lineRule="auto"/>
        <w:rPr>
          <w:sz w:val="28"/>
          <w:szCs w:val="28"/>
        </w:rPr>
      </w:pPr>
      <w:r w:rsidRPr="0054645F">
        <w:rPr>
          <w:sz w:val="28"/>
          <w:szCs w:val="28"/>
        </w:rPr>
        <w:t>Stone, et al. (2014). </w:t>
      </w:r>
      <w:hyperlink r:id="rId18" w:history="1">
        <w:r w:rsidRPr="0054645F">
          <w:rPr>
            <w:rStyle w:val="Hyperlink"/>
            <w:color w:val="auto"/>
            <w:sz w:val="28"/>
            <w:szCs w:val="28"/>
          </w:rPr>
          <w:t>Development of a measure of knowledge use by stakeholders in rehabilitation technology</w:t>
        </w:r>
      </w:hyperlink>
      <w:r w:rsidRPr="0054645F">
        <w:rPr>
          <w:sz w:val="28"/>
          <w:szCs w:val="28"/>
          <w:u w:val="single"/>
        </w:rPr>
        <w:t xml:space="preserve">. </w:t>
      </w:r>
      <w:r w:rsidRPr="0054645F">
        <w:rPr>
          <w:i/>
          <w:iCs/>
          <w:sz w:val="28"/>
          <w:szCs w:val="28"/>
        </w:rPr>
        <w:t>Sage Open Medicine</w:t>
      </w:r>
      <w:r w:rsidRPr="0054645F">
        <w:rPr>
          <w:sz w:val="28"/>
          <w:szCs w:val="28"/>
        </w:rPr>
        <w:t>, 2014, </w:t>
      </w:r>
      <w:r w:rsidRPr="0054645F">
        <w:rPr>
          <w:b/>
          <w:bCs/>
          <w:sz w:val="28"/>
          <w:szCs w:val="28"/>
        </w:rPr>
        <w:t>2, </w:t>
      </w:r>
      <w:r w:rsidRPr="0054645F">
        <w:rPr>
          <w:sz w:val="28"/>
          <w:szCs w:val="28"/>
        </w:rPr>
        <w:t>1-19.</w:t>
      </w:r>
      <w:r w:rsidRPr="0054645F">
        <w:rPr>
          <w:b/>
          <w:bCs/>
          <w:sz w:val="28"/>
          <w:szCs w:val="28"/>
        </w:rPr>
        <w:t> </w:t>
      </w:r>
      <w:r w:rsidRPr="0054645F">
        <w:rPr>
          <w:sz w:val="28"/>
          <w:szCs w:val="28"/>
        </w:rPr>
        <w:t>[SA1]</w:t>
      </w:r>
    </w:p>
    <w:p w:rsidR="002D01A1" w:rsidRPr="0054645F" w:rsidRDefault="002D01A1" w:rsidP="002D01A1">
      <w:pPr>
        <w:pStyle w:val="ListParagraph"/>
        <w:numPr>
          <w:ilvl w:val="0"/>
          <w:numId w:val="3"/>
        </w:numPr>
        <w:spacing w:after="200" w:line="276" w:lineRule="auto"/>
        <w:rPr>
          <w:sz w:val="28"/>
          <w:szCs w:val="28"/>
        </w:rPr>
      </w:pPr>
      <w:r w:rsidRPr="0054645F">
        <w:rPr>
          <w:sz w:val="28"/>
          <w:szCs w:val="28"/>
        </w:rPr>
        <w:t xml:space="preserve">Stone, et al.  (2015). Effectively Communicating Knowledge to Assistive Technology Stakeholders: Three Randomized Controlled Case Studies In: </w:t>
      </w:r>
      <w:hyperlink r:id="rId19" w:history="1">
        <w:r w:rsidRPr="0054645F">
          <w:rPr>
            <w:rStyle w:val="Hyperlink"/>
            <w:color w:val="auto"/>
            <w:sz w:val="28"/>
            <w:szCs w:val="28"/>
          </w:rPr>
          <w:t>Focused Issue: Knowledge Translation and Technology Transfer in Assistive Technology</w:t>
        </w:r>
      </w:hyperlink>
      <w:r w:rsidRPr="0054645F">
        <w:rPr>
          <w:sz w:val="28"/>
          <w:szCs w:val="28"/>
        </w:rPr>
        <w:t>,  </w:t>
      </w:r>
      <w:r w:rsidRPr="0054645F">
        <w:rPr>
          <w:i/>
          <w:iCs/>
          <w:sz w:val="28"/>
          <w:szCs w:val="28"/>
        </w:rPr>
        <w:t>Assistive Technology Outcomes and Benefits</w:t>
      </w:r>
      <w:r w:rsidRPr="0054645F">
        <w:rPr>
          <w:sz w:val="28"/>
          <w:szCs w:val="28"/>
        </w:rPr>
        <w:t>, Winter 2015, </w:t>
      </w:r>
      <w:r w:rsidRPr="0054645F">
        <w:rPr>
          <w:b/>
          <w:bCs/>
          <w:sz w:val="28"/>
          <w:szCs w:val="28"/>
        </w:rPr>
        <w:t>9</w:t>
      </w:r>
      <w:r w:rsidRPr="0054645F">
        <w:rPr>
          <w:sz w:val="28"/>
          <w:szCs w:val="28"/>
        </w:rPr>
        <w:t>(1).</w:t>
      </w:r>
    </w:p>
    <w:p w:rsidR="002D01A1" w:rsidRPr="0054645F" w:rsidRDefault="002D01A1" w:rsidP="002D01A1">
      <w:pPr>
        <w:pStyle w:val="ListParagraph"/>
        <w:numPr>
          <w:ilvl w:val="0"/>
          <w:numId w:val="3"/>
        </w:numPr>
        <w:spacing w:after="200" w:line="276" w:lineRule="auto"/>
        <w:rPr>
          <w:sz w:val="28"/>
          <w:szCs w:val="28"/>
        </w:rPr>
      </w:pPr>
      <w:r w:rsidRPr="0054645F">
        <w:rPr>
          <w:sz w:val="28"/>
          <w:szCs w:val="28"/>
        </w:rPr>
        <w:t xml:space="preserve">Sudsawad, P 2007. </w:t>
      </w:r>
      <w:r w:rsidRPr="0054645F">
        <w:rPr>
          <w:i/>
          <w:iCs/>
          <w:sz w:val="28"/>
          <w:szCs w:val="28"/>
        </w:rPr>
        <w:t>Knowledge Translation: Introduction to Models, Strategies, and Measures.</w:t>
      </w:r>
      <w:r w:rsidRPr="0054645F">
        <w:rPr>
          <w:sz w:val="28"/>
          <w:szCs w:val="28"/>
        </w:rPr>
        <w:t xml:space="preserve"> Austin: Southwest Educational Development Laboratory, National Center for the Dissemination of Disability Research.  (p.4; 21-22)</w:t>
      </w:r>
    </w:p>
    <w:p w:rsidR="00BB4C44" w:rsidRPr="0054645F" w:rsidRDefault="00BB4C44" w:rsidP="00BB4C44">
      <w:pPr>
        <w:numPr>
          <w:ilvl w:val="0"/>
          <w:numId w:val="3"/>
        </w:numPr>
        <w:spacing w:after="200" w:line="276" w:lineRule="auto"/>
        <w:rPr>
          <w:sz w:val="28"/>
          <w:szCs w:val="28"/>
        </w:rPr>
      </w:pPr>
      <w:r w:rsidRPr="0054645F">
        <w:rPr>
          <w:sz w:val="28"/>
          <w:szCs w:val="28"/>
        </w:rPr>
        <w:t>USDE (2006). NIDRR Logic Model: Targeted Outcomes Arenas. Federal Register/Vol. No. 31, February 15, 2006.: Appendix 2.</w:t>
      </w:r>
    </w:p>
    <w:p w:rsidR="002D01A1" w:rsidRPr="0054645F" w:rsidRDefault="002D01A1" w:rsidP="002D01A1">
      <w:pPr>
        <w:pStyle w:val="ListParagraph"/>
        <w:numPr>
          <w:ilvl w:val="0"/>
          <w:numId w:val="3"/>
        </w:numPr>
        <w:spacing w:after="200" w:line="276" w:lineRule="auto"/>
        <w:rPr>
          <w:sz w:val="28"/>
          <w:szCs w:val="28"/>
        </w:rPr>
      </w:pPr>
      <w:r w:rsidRPr="0054645F">
        <w:rPr>
          <w:sz w:val="28"/>
          <w:szCs w:val="28"/>
        </w:rPr>
        <w:t xml:space="preserve">Wholey J S., Hatry H P., and Newcomer, K E (eds.) (2004). </w:t>
      </w:r>
      <w:r w:rsidRPr="0054645F">
        <w:rPr>
          <w:i/>
          <w:iCs/>
          <w:sz w:val="28"/>
          <w:szCs w:val="28"/>
        </w:rPr>
        <w:t>Handbook of Practical Program Evaluation,</w:t>
      </w:r>
      <w:r w:rsidRPr="0054645F">
        <w:rPr>
          <w:sz w:val="28"/>
          <w:szCs w:val="28"/>
        </w:rPr>
        <w:t xml:space="preserve"> San Francisco: Jossey-Bass. </w:t>
      </w:r>
    </w:p>
    <w:p w:rsidR="00B65AEB" w:rsidRDefault="002D01A1" w:rsidP="00032DCF">
      <w:pPr>
        <w:pStyle w:val="ListParagraph"/>
        <w:numPr>
          <w:ilvl w:val="0"/>
          <w:numId w:val="3"/>
        </w:numPr>
        <w:spacing w:after="200" w:line="276" w:lineRule="auto"/>
        <w:rPr>
          <w:sz w:val="28"/>
          <w:szCs w:val="28"/>
        </w:rPr>
      </w:pPr>
      <w:r w:rsidRPr="0054645F">
        <w:rPr>
          <w:sz w:val="28"/>
          <w:szCs w:val="28"/>
        </w:rPr>
        <w:t xml:space="preserve">Weiss, C H (1979). The Many Meanings of Research Utilization. </w:t>
      </w:r>
      <w:r w:rsidRPr="0054645F">
        <w:rPr>
          <w:i/>
          <w:iCs/>
          <w:sz w:val="28"/>
          <w:szCs w:val="28"/>
        </w:rPr>
        <w:t>Public Administration Review</w:t>
      </w:r>
      <w:r w:rsidRPr="0054645F">
        <w:rPr>
          <w:sz w:val="28"/>
          <w:szCs w:val="28"/>
        </w:rPr>
        <w:t xml:space="preserve">, </w:t>
      </w:r>
      <w:r w:rsidRPr="0054645F">
        <w:rPr>
          <w:b/>
          <w:bCs/>
          <w:sz w:val="28"/>
          <w:szCs w:val="28"/>
        </w:rPr>
        <w:t>39</w:t>
      </w:r>
      <w:r w:rsidRPr="0054645F">
        <w:rPr>
          <w:sz w:val="28"/>
          <w:szCs w:val="28"/>
        </w:rPr>
        <w:t xml:space="preserve">(5): 426-431. </w:t>
      </w:r>
    </w:p>
    <w:p w:rsidR="00CE4335" w:rsidRDefault="00CE4335" w:rsidP="0070355C">
      <w:pPr>
        <w:pStyle w:val="Heading1"/>
        <w:spacing w:after="120"/>
      </w:pPr>
      <w:r w:rsidRPr="00CE4335">
        <w:lastRenderedPageBreak/>
        <w:t>ACKNOWLEDGEMENT</w:t>
      </w:r>
    </w:p>
    <w:p w:rsidR="00CE4335" w:rsidRDefault="00CE4335" w:rsidP="0070355C">
      <w:pPr>
        <w:pStyle w:val="Heading1"/>
        <w:spacing w:after="120"/>
      </w:pPr>
      <w:r>
        <w:t>(Slide 11)</w:t>
      </w:r>
    </w:p>
    <w:p w:rsidR="00CE4335" w:rsidRPr="00CE4335" w:rsidRDefault="00CE4335" w:rsidP="00CE4335">
      <w:pPr>
        <w:pStyle w:val="ListParagraph"/>
        <w:spacing w:after="200" w:line="276" w:lineRule="auto"/>
        <w:rPr>
          <w:sz w:val="28"/>
          <w:szCs w:val="28"/>
        </w:rPr>
      </w:pPr>
      <w:r w:rsidRPr="00CE4335">
        <w:rPr>
          <w:sz w:val="28"/>
          <w:szCs w:val="28"/>
        </w:rPr>
        <w:t>The contents of this presentation were created under a cooperative agreement with the National Institute on Disability, Independent Living, and Rehabilitation Research (#90DP0054).  NIDILRR is an Institute within the Administration for Community Living (ACL) in the U.S. Department of Health and Human Services (HHS). The contents do not necessarily represent the policy of NIDILRR, ACL, DHHS, and endorsement by the U.S. Federal Government should not be assumed.</w:t>
      </w:r>
    </w:p>
    <w:p w:rsidR="00CE4335" w:rsidRPr="0054645F" w:rsidRDefault="00CE4335" w:rsidP="00CE4335">
      <w:pPr>
        <w:pStyle w:val="ListParagraph"/>
        <w:spacing w:after="200" w:line="276" w:lineRule="auto"/>
        <w:rPr>
          <w:sz w:val="28"/>
          <w:szCs w:val="28"/>
        </w:rPr>
      </w:pPr>
    </w:p>
    <w:sectPr w:rsidR="00CE4335" w:rsidRPr="0054645F" w:rsidSect="0094430B">
      <w:foot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6F" w:rsidRDefault="00B7586F" w:rsidP="003A0BF8">
      <w:r>
        <w:separator/>
      </w:r>
    </w:p>
  </w:endnote>
  <w:endnote w:type="continuationSeparator" w:id="0">
    <w:p w:rsidR="00B7586F" w:rsidRDefault="00B7586F" w:rsidP="003A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778268"/>
      <w:docPartObj>
        <w:docPartGallery w:val="Page Numbers (Bottom of Page)"/>
        <w:docPartUnique/>
      </w:docPartObj>
    </w:sdtPr>
    <w:sdtEndPr>
      <w:rPr>
        <w:noProof/>
      </w:rPr>
    </w:sdtEndPr>
    <w:sdtContent>
      <w:p w:rsidR="00A93924" w:rsidRDefault="00A93924">
        <w:pPr>
          <w:pStyle w:val="Footer"/>
          <w:jc w:val="right"/>
        </w:pPr>
        <w:r>
          <w:fldChar w:fldCharType="begin"/>
        </w:r>
        <w:r>
          <w:instrText xml:space="preserve"> PAGE   \* MERGEFORMAT </w:instrText>
        </w:r>
        <w:r>
          <w:fldChar w:fldCharType="separate"/>
        </w:r>
        <w:r w:rsidR="00242D1F">
          <w:rPr>
            <w:noProof/>
          </w:rPr>
          <w:t>6</w:t>
        </w:r>
        <w:r>
          <w:rPr>
            <w:noProof/>
          </w:rPr>
          <w:fldChar w:fldCharType="end"/>
        </w:r>
      </w:p>
    </w:sdtContent>
  </w:sdt>
  <w:p w:rsidR="00A93924" w:rsidRDefault="00A93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6F" w:rsidRDefault="00B7586F" w:rsidP="003A0BF8">
      <w:r>
        <w:separator/>
      </w:r>
    </w:p>
  </w:footnote>
  <w:footnote w:type="continuationSeparator" w:id="0">
    <w:p w:rsidR="00B7586F" w:rsidRDefault="00B7586F" w:rsidP="003A0BF8">
      <w:r>
        <w:continuationSeparator/>
      </w:r>
    </w:p>
  </w:footnote>
  <w:footnote w:id="1">
    <w:p w:rsidR="00944822" w:rsidRDefault="00944822">
      <w:pPr>
        <w:pStyle w:val="FootnoteText"/>
      </w:pPr>
      <w:r>
        <w:rPr>
          <w:rStyle w:val="FootnoteReference"/>
        </w:rPr>
        <w:footnoteRef/>
      </w:r>
      <w:r>
        <w:t xml:space="preserve"> Paper presented </w:t>
      </w:r>
      <w:r w:rsidR="006D1654">
        <w:t xml:space="preserve">at the AEA Annual meeting, November 10, 2017, </w:t>
      </w:r>
      <w:r>
        <w:t xml:space="preserve">for </w:t>
      </w:r>
      <w:r w:rsidR="006D1654">
        <w:t>P</w:t>
      </w:r>
      <w:r>
        <w:t xml:space="preserve">anel </w:t>
      </w:r>
      <w:r w:rsidR="006D1654">
        <w:t xml:space="preserve">session 2099 “Translational Research: </w:t>
      </w:r>
      <w:r>
        <w:t>Bench to Bedside and Beyond</w:t>
      </w:r>
      <w:r w:rsidR="006D1654">
        <w:t>”.</w:t>
      </w:r>
      <w:r>
        <w:t xml:space="preserve"> </w:t>
      </w:r>
    </w:p>
  </w:footnote>
  <w:footnote w:id="2">
    <w:p w:rsidR="003A0BF8" w:rsidRDefault="003A0BF8">
      <w:pPr>
        <w:pStyle w:val="FootnoteText"/>
      </w:pPr>
      <w:r>
        <w:rPr>
          <w:rStyle w:val="FootnoteReference"/>
        </w:rPr>
        <w:footnoteRef/>
      </w:r>
      <w:r>
        <w:t xml:space="preserve"> Center on Knowledge Translation for Technology Transfer, University at Buffalo</w:t>
      </w:r>
    </w:p>
  </w:footnote>
  <w:footnote w:id="3">
    <w:p w:rsidR="003A0BF8" w:rsidRDefault="003A0BF8">
      <w:pPr>
        <w:pStyle w:val="FootnoteText"/>
      </w:pPr>
      <w:r>
        <w:rPr>
          <w:rStyle w:val="FootnoteReference"/>
        </w:rPr>
        <w:footnoteRef/>
      </w:r>
      <w:r>
        <w:t xml:space="preserve"> </w:t>
      </w:r>
      <w:r w:rsidR="0050763C">
        <w:t>Direc</w:t>
      </w:r>
      <w:r>
        <w:t xml:space="preserve">tor, Center for Assistive Technology, University at Buffalo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A3B8A"/>
    <w:multiLevelType w:val="hybridMultilevel"/>
    <w:tmpl w:val="98C674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95BA7"/>
    <w:multiLevelType w:val="hybridMultilevel"/>
    <w:tmpl w:val="A162ACF4"/>
    <w:lvl w:ilvl="0" w:tplc="AFBC7602">
      <w:start w:val="1"/>
      <w:numFmt w:val="decimal"/>
      <w:lvlText w:val="%1."/>
      <w:lvlJc w:val="left"/>
      <w:pPr>
        <w:tabs>
          <w:tab w:val="num" w:pos="720"/>
        </w:tabs>
        <w:ind w:left="720" w:hanging="360"/>
      </w:pPr>
    </w:lvl>
    <w:lvl w:ilvl="1" w:tplc="A2BA364A" w:tentative="1">
      <w:start w:val="1"/>
      <w:numFmt w:val="decimal"/>
      <w:lvlText w:val="%2."/>
      <w:lvlJc w:val="left"/>
      <w:pPr>
        <w:tabs>
          <w:tab w:val="num" w:pos="1440"/>
        </w:tabs>
        <w:ind w:left="1440" w:hanging="360"/>
      </w:pPr>
    </w:lvl>
    <w:lvl w:ilvl="2" w:tplc="11A2C48C" w:tentative="1">
      <w:start w:val="1"/>
      <w:numFmt w:val="decimal"/>
      <w:lvlText w:val="%3."/>
      <w:lvlJc w:val="left"/>
      <w:pPr>
        <w:tabs>
          <w:tab w:val="num" w:pos="2160"/>
        </w:tabs>
        <w:ind w:left="2160" w:hanging="360"/>
      </w:pPr>
    </w:lvl>
    <w:lvl w:ilvl="3" w:tplc="D93C6F3E" w:tentative="1">
      <w:start w:val="1"/>
      <w:numFmt w:val="decimal"/>
      <w:lvlText w:val="%4."/>
      <w:lvlJc w:val="left"/>
      <w:pPr>
        <w:tabs>
          <w:tab w:val="num" w:pos="2880"/>
        </w:tabs>
        <w:ind w:left="2880" w:hanging="360"/>
      </w:pPr>
    </w:lvl>
    <w:lvl w:ilvl="4" w:tplc="25E2B322" w:tentative="1">
      <w:start w:val="1"/>
      <w:numFmt w:val="decimal"/>
      <w:lvlText w:val="%5."/>
      <w:lvlJc w:val="left"/>
      <w:pPr>
        <w:tabs>
          <w:tab w:val="num" w:pos="3600"/>
        </w:tabs>
        <w:ind w:left="3600" w:hanging="360"/>
      </w:pPr>
    </w:lvl>
    <w:lvl w:ilvl="5" w:tplc="A7EA2C22" w:tentative="1">
      <w:start w:val="1"/>
      <w:numFmt w:val="decimal"/>
      <w:lvlText w:val="%6."/>
      <w:lvlJc w:val="left"/>
      <w:pPr>
        <w:tabs>
          <w:tab w:val="num" w:pos="4320"/>
        </w:tabs>
        <w:ind w:left="4320" w:hanging="360"/>
      </w:pPr>
    </w:lvl>
    <w:lvl w:ilvl="6" w:tplc="7E621374" w:tentative="1">
      <w:start w:val="1"/>
      <w:numFmt w:val="decimal"/>
      <w:lvlText w:val="%7."/>
      <w:lvlJc w:val="left"/>
      <w:pPr>
        <w:tabs>
          <w:tab w:val="num" w:pos="5040"/>
        </w:tabs>
        <w:ind w:left="5040" w:hanging="360"/>
      </w:pPr>
    </w:lvl>
    <w:lvl w:ilvl="7" w:tplc="AC5A7BEA" w:tentative="1">
      <w:start w:val="1"/>
      <w:numFmt w:val="decimal"/>
      <w:lvlText w:val="%8."/>
      <w:lvlJc w:val="left"/>
      <w:pPr>
        <w:tabs>
          <w:tab w:val="num" w:pos="5760"/>
        </w:tabs>
        <w:ind w:left="5760" w:hanging="360"/>
      </w:pPr>
    </w:lvl>
    <w:lvl w:ilvl="8" w:tplc="2E328AF8" w:tentative="1">
      <w:start w:val="1"/>
      <w:numFmt w:val="decimal"/>
      <w:lvlText w:val="%9."/>
      <w:lvlJc w:val="left"/>
      <w:pPr>
        <w:tabs>
          <w:tab w:val="num" w:pos="6480"/>
        </w:tabs>
        <w:ind w:left="6480" w:hanging="360"/>
      </w:pPr>
    </w:lvl>
  </w:abstractNum>
  <w:abstractNum w:abstractNumId="2" w15:restartNumberingAfterBreak="0">
    <w:nsid w:val="4B216D9E"/>
    <w:multiLevelType w:val="hybridMultilevel"/>
    <w:tmpl w:val="1014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94024"/>
    <w:multiLevelType w:val="hybridMultilevel"/>
    <w:tmpl w:val="D862AAFC"/>
    <w:lvl w:ilvl="0" w:tplc="1D3E3958">
      <w:start w:val="1"/>
      <w:numFmt w:val="decimal"/>
      <w:lvlText w:val="%1."/>
      <w:lvlJc w:val="left"/>
      <w:pPr>
        <w:tabs>
          <w:tab w:val="num" w:pos="720"/>
        </w:tabs>
        <w:ind w:left="720" w:hanging="360"/>
      </w:pPr>
    </w:lvl>
    <w:lvl w:ilvl="1" w:tplc="4D6229A0" w:tentative="1">
      <w:start w:val="1"/>
      <w:numFmt w:val="decimal"/>
      <w:lvlText w:val="%2."/>
      <w:lvlJc w:val="left"/>
      <w:pPr>
        <w:tabs>
          <w:tab w:val="num" w:pos="1440"/>
        </w:tabs>
        <w:ind w:left="1440" w:hanging="360"/>
      </w:pPr>
    </w:lvl>
    <w:lvl w:ilvl="2" w:tplc="3CEEFD14" w:tentative="1">
      <w:start w:val="1"/>
      <w:numFmt w:val="decimal"/>
      <w:lvlText w:val="%3."/>
      <w:lvlJc w:val="left"/>
      <w:pPr>
        <w:tabs>
          <w:tab w:val="num" w:pos="2160"/>
        </w:tabs>
        <w:ind w:left="2160" w:hanging="360"/>
      </w:pPr>
    </w:lvl>
    <w:lvl w:ilvl="3" w:tplc="6E6814B4" w:tentative="1">
      <w:start w:val="1"/>
      <w:numFmt w:val="decimal"/>
      <w:lvlText w:val="%4."/>
      <w:lvlJc w:val="left"/>
      <w:pPr>
        <w:tabs>
          <w:tab w:val="num" w:pos="2880"/>
        </w:tabs>
        <w:ind w:left="2880" w:hanging="360"/>
      </w:pPr>
    </w:lvl>
    <w:lvl w:ilvl="4" w:tplc="9454BE7A" w:tentative="1">
      <w:start w:val="1"/>
      <w:numFmt w:val="decimal"/>
      <w:lvlText w:val="%5."/>
      <w:lvlJc w:val="left"/>
      <w:pPr>
        <w:tabs>
          <w:tab w:val="num" w:pos="3600"/>
        </w:tabs>
        <w:ind w:left="3600" w:hanging="360"/>
      </w:pPr>
    </w:lvl>
    <w:lvl w:ilvl="5" w:tplc="C576DA3E" w:tentative="1">
      <w:start w:val="1"/>
      <w:numFmt w:val="decimal"/>
      <w:lvlText w:val="%6."/>
      <w:lvlJc w:val="left"/>
      <w:pPr>
        <w:tabs>
          <w:tab w:val="num" w:pos="4320"/>
        </w:tabs>
        <w:ind w:left="4320" w:hanging="360"/>
      </w:pPr>
    </w:lvl>
    <w:lvl w:ilvl="6" w:tplc="3E54918A" w:tentative="1">
      <w:start w:val="1"/>
      <w:numFmt w:val="decimal"/>
      <w:lvlText w:val="%7."/>
      <w:lvlJc w:val="left"/>
      <w:pPr>
        <w:tabs>
          <w:tab w:val="num" w:pos="5040"/>
        </w:tabs>
        <w:ind w:left="5040" w:hanging="360"/>
      </w:pPr>
    </w:lvl>
    <w:lvl w:ilvl="7" w:tplc="E3A0349E" w:tentative="1">
      <w:start w:val="1"/>
      <w:numFmt w:val="decimal"/>
      <w:lvlText w:val="%8."/>
      <w:lvlJc w:val="left"/>
      <w:pPr>
        <w:tabs>
          <w:tab w:val="num" w:pos="5760"/>
        </w:tabs>
        <w:ind w:left="5760" w:hanging="360"/>
      </w:pPr>
    </w:lvl>
    <w:lvl w:ilvl="8" w:tplc="1130D8FC" w:tentative="1">
      <w:start w:val="1"/>
      <w:numFmt w:val="decimal"/>
      <w:lvlText w:val="%9."/>
      <w:lvlJc w:val="left"/>
      <w:pPr>
        <w:tabs>
          <w:tab w:val="num" w:pos="6480"/>
        </w:tabs>
        <w:ind w:left="6480" w:hanging="360"/>
      </w:pPr>
    </w:lvl>
  </w:abstractNum>
  <w:abstractNum w:abstractNumId="4" w15:restartNumberingAfterBreak="0">
    <w:nsid w:val="60F85193"/>
    <w:multiLevelType w:val="hybridMultilevel"/>
    <w:tmpl w:val="6D549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11"/>
    <w:rsid w:val="00003F41"/>
    <w:rsid w:val="00005C4F"/>
    <w:rsid w:val="000161A6"/>
    <w:rsid w:val="00022EED"/>
    <w:rsid w:val="0002327B"/>
    <w:rsid w:val="000450CB"/>
    <w:rsid w:val="00053489"/>
    <w:rsid w:val="00065674"/>
    <w:rsid w:val="000771BF"/>
    <w:rsid w:val="00081AE0"/>
    <w:rsid w:val="00084E6F"/>
    <w:rsid w:val="00086374"/>
    <w:rsid w:val="000975A7"/>
    <w:rsid w:val="000B55D9"/>
    <w:rsid w:val="000C1753"/>
    <w:rsid w:val="000C1A1C"/>
    <w:rsid w:val="001160B7"/>
    <w:rsid w:val="00135B05"/>
    <w:rsid w:val="00146956"/>
    <w:rsid w:val="001547D2"/>
    <w:rsid w:val="00155A8B"/>
    <w:rsid w:val="00161A14"/>
    <w:rsid w:val="001727AD"/>
    <w:rsid w:val="001B2657"/>
    <w:rsid w:val="001C08AD"/>
    <w:rsid w:val="00212715"/>
    <w:rsid w:val="00215B0B"/>
    <w:rsid w:val="00242D1F"/>
    <w:rsid w:val="00270660"/>
    <w:rsid w:val="00283D19"/>
    <w:rsid w:val="002901C4"/>
    <w:rsid w:val="002B7A03"/>
    <w:rsid w:val="002C5555"/>
    <w:rsid w:val="002C576A"/>
    <w:rsid w:val="002D01A1"/>
    <w:rsid w:val="00340848"/>
    <w:rsid w:val="003474B8"/>
    <w:rsid w:val="0035446E"/>
    <w:rsid w:val="00361A3C"/>
    <w:rsid w:val="0036690F"/>
    <w:rsid w:val="00380C30"/>
    <w:rsid w:val="003A0BF8"/>
    <w:rsid w:val="003C46FE"/>
    <w:rsid w:val="003E2887"/>
    <w:rsid w:val="00413F61"/>
    <w:rsid w:val="00423EA5"/>
    <w:rsid w:val="0043466B"/>
    <w:rsid w:val="00444689"/>
    <w:rsid w:val="00481611"/>
    <w:rsid w:val="004A3C30"/>
    <w:rsid w:val="004B5D54"/>
    <w:rsid w:val="0050763C"/>
    <w:rsid w:val="00507FC4"/>
    <w:rsid w:val="00521970"/>
    <w:rsid w:val="005266C8"/>
    <w:rsid w:val="0054645F"/>
    <w:rsid w:val="00557E26"/>
    <w:rsid w:val="00584F5E"/>
    <w:rsid w:val="005A185C"/>
    <w:rsid w:val="005B1837"/>
    <w:rsid w:val="005C6D73"/>
    <w:rsid w:val="005E5E61"/>
    <w:rsid w:val="005F17E8"/>
    <w:rsid w:val="005F2022"/>
    <w:rsid w:val="005F7BB5"/>
    <w:rsid w:val="006042F2"/>
    <w:rsid w:val="00604FFE"/>
    <w:rsid w:val="00664C53"/>
    <w:rsid w:val="006846E3"/>
    <w:rsid w:val="006B10B1"/>
    <w:rsid w:val="006D1654"/>
    <w:rsid w:val="006E422E"/>
    <w:rsid w:val="006F23D0"/>
    <w:rsid w:val="0070355C"/>
    <w:rsid w:val="00725BA4"/>
    <w:rsid w:val="00741526"/>
    <w:rsid w:val="007443BF"/>
    <w:rsid w:val="00757E43"/>
    <w:rsid w:val="0077585F"/>
    <w:rsid w:val="007D01A7"/>
    <w:rsid w:val="007F007E"/>
    <w:rsid w:val="00800138"/>
    <w:rsid w:val="00813650"/>
    <w:rsid w:val="00833F7D"/>
    <w:rsid w:val="00864963"/>
    <w:rsid w:val="00897009"/>
    <w:rsid w:val="008A1607"/>
    <w:rsid w:val="008A323E"/>
    <w:rsid w:val="008D544B"/>
    <w:rsid w:val="008D75C1"/>
    <w:rsid w:val="008F24CB"/>
    <w:rsid w:val="008F3C9F"/>
    <w:rsid w:val="008F578C"/>
    <w:rsid w:val="0091423A"/>
    <w:rsid w:val="009177A4"/>
    <w:rsid w:val="0094430B"/>
    <w:rsid w:val="00944822"/>
    <w:rsid w:val="0096612C"/>
    <w:rsid w:val="009715C8"/>
    <w:rsid w:val="00973200"/>
    <w:rsid w:val="009E0F2E"/>
    <w:rsid w:val="009E2BCB"/>
    <w:rsid w:val="009F24B1"/>
    <w:rsid w:val="009F291B"/>
    <w:rsid w:val="00A33574"/>
    <w:rsid w:val="00A57555"/>
    <w:rsid w:val="00A83DC0"/>
    <w:rsid w:val="00A93924"/>
    <w:rsid w:val="00AA17CA"/>
    <w:rsid w:val="00AA54C6"/>
    <w:rsid w:val="00AA5EB9"/>
    <w:rsid w:val="00AC6BE1"/>
    <w:rsid w:val="00AC7AC9"/>
    <w:rsid w:val="00AD5CE9"/>
    <w:rsid w:val="00B44886"/>
    <w:rsid w:val="00B65AEB"/>
    <w:rsid w:val="00B7586F"/>
    <w:rsid w:val="00B87077"/>
    <w:rsid w:val="00BB4C44"/>
    <w:rsid w:val="00BE7ED1"/>
    <w:rsid w:val="00C27D28"/>
    <w:rsid w:val="00C7117C"/>
    <w:rsid w:val="00C745E5"/>
    <w:rsid w:val="00CC4108"/>
    <w:rsid w:val="00CC7801"/>
    <w:rsid w:val="00CE4335"/>
    <w:rsid w:val="00CE794D"/>
    <w:rsid w:val="00CE7B74"/>
    <w:rsid w:val="00CF0168"/>
    <w:rsid w:val="00CF0913"/>
    <w:rsid w:val="00CF494C"/>
    <w:rsid w:val="00D10756"/>
    <w:rsid w:val="00D1793D"/>
    <w:rsid w:val="00D52980"/>
    <w:rsid w:val="00D53800"/>
    <w:rsid w:val="00D54846"/>
    <w:rsid w:val="00D81E9E"/>
    <w:rsid w:val="00D8741C"/>
    <w:rsid w:val="00D90938"/>
    <w:rsid w:val="00D91F6A"/>
    <w:rsid w:val="00DD32AC"/>
    <w:rsid w:val="00DD7FA7"/>
    <w:rsid w:val="00DE02FD"/>
    <w:rsid w:val="00DE18F5"/>
    <w:rsid w:val="00DE3CAA"/>
    <w:rsid w:val="00DF399F"/>
    <w:rsid w:val="00E37DDC"/>
    <w:rsid w:val="00E44CB4"/>
    <w:rsid w:val="00EB46D8"/>
    <w:rsid w:val="00EC28CC"/>
    <w:rsid w:val="00EC653B"/>
    <w:rsid w:val="00F157AA"/>
    <w:rsid w:val="00F91A87"/>
    <w:rsid w:val="00FA652E"/>
    <w:rsid w:val="00FB3414"/>
    <w:rsid w:val="00FD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B2ABC-3467-4166-A743-4E329530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61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0355C"/>
    <w:pPr>
      <w:keepNext/>
      <w:keepLines/>
      <w:jc w:val="center"/>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1970"/>
    <w:rPr>
      <w:sz w:val="16"/>
      <w:szCs w:val="16"/>
    </w:rPr>
  </w:style>
  <w:style w:type="paragraph" w:styleId="CommentText">
    <w:name w:val="annotation text"/>
    <w:basedOn w:val="Normal"/>
    <w:link w:val="CommentTextChar"/>
    <w:uiPriority w:val="99"/>
    <w:semiHidden/>
    <w:unhideWhenUsed/>
    <w:rsid w:val="00521970"/>
    <w:rPr>
      <w:sz w:val="20"/>
      <w:szCs w:val="20"/>
    </w:rPr>
  </w:style>
  <w:style w:type="character" w:customStyle="1" w:styleId="CommentTextChar">
    <w:name w:val="Comment Text Char"/>
    <w:basedOn w:val="DefaultParagraphFont"/>
    <w:link w:val="CommentText"/>
    <w:uiPriority w:val="99"/>
    <w:semiHidden/>
    <w:rsid w:val="0052197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1970"/>
    <w:rPr>
      <w:b/>
      <w:bCs/>
    </w:rPr>
  </w:style>
  <w:style w:type="character" w:customStyle="1" w:styleId="CommentSubjectChar">
    <w:name w:val="Comment Subject Char"/>
    <w:basedOn w:val="CommentTextChar"/>
    <w:link w:val="CommentSubject"/>
    <w:uiPriority w:val="99"/>
    <w:semiHidden/>
    <w:rsid w:val="00521970"/>
    <w:rPr>
      <w:rFonts w:ascii="Calibri" w:hAnsi="Calibri" w:cs="Times New Roman"/>
      <w:b/>
      <w:bCs/>
      <w:sz w:val="20"/>
      <w:szCs w:val="20"/>
    </w:rPr>
  </w:style>
  <w:style w:type="paragraph" w:styleId="BalloonText">
    <w:name w:val="Balloon Text"/>
    <w:basedOn w:val="Normal"/>
    <w:link w:val="BalloonTextChar"/>
    <w:uiPriority w:val="99"/>
    <w:semiHidden/>
    <w:unhideWhenUsed/>
    <w:rsid w:val="00521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70"/>
    <w:rPr>
      <w:rFonts w:ascii="Segoe UI" w:hAnsi="Segoe UI" w:cs="Segoe UI"/>
      <w:sz w:val="18"/>
      <w:szCs w:val="18"/>
    </w:rPr>
  </w:style>
  <w:style w:type="character" w:styleId="Hyperlink">
    <w:name w:val="Hyperlink"/>
    <w:basedOn w:val="DefaultParagraphFont"/>
    <w:uiPriority w:val="99"/>
    <w:unhideWhenUsed/>
    <w:rsid w:val="005B1837"/>
    <w:rPr>
      <w:color w:val="0000FF" w:themeColor="hyperlink"/>
      <w:u w:val="single"/>
    </w:rPr>
  </w:style>
  <w:style w:type="paragraph" w:styleId="FootnoteText">
    <w:name w:val="footnote text"/>
    <w:basedOn w:val="Normal"/>
    <w:link w:val="FootnoteTextChar"/>
    <w:uiPriority w:val="99"/>
    <w:semiHidden/>
    <w:unhideWhenUsed/>
    <w:rsid w:val="003A0BF8"/>
    <w:rPr>
      <w:sz w:val="20"/>
      <w:szCs w:val="20"/>
    </w:rPr>
  </w:style>
  <w:style w:type="character" w:customStyle="1" w:styleId="FootnoteTextChar">
    <w:name w:val="Footnote Text Char"/>
    <w:basedOn w:val="DefaultParagraphFont"/>
    <w:link w:val="FootnoteText"/>
    <w:uiPriority w:val="99"/>
    <w:semiHidden/>
    <w:rsid w:val="003A0BF8"/>
    <w:rPr>
      <w:rFonts w:ascii="Calibri" w:hAnsi="Calibri" w:cs="Times New Roman"/>
      <w:sz w:val="20"/>
      <w:szCs w:val="20"/>
    </w:rPr>
  </w:style>
  <w:style w:type="character" w:styleId="FootnoteReference">
    <w:name w:val="footnote reference"/>
    <w:basedOn w:val="DefaultParagraphFont"/>
    <w:uiPriority w:val="99"/>
    <w:semiHidden/>
    <w:unhideWhenUsed/>
    <w:rsid w:val="003A0BF8"/>
    <w:rPr>
      <w:vertAlign w:val="superscript"/>
    </w:rPr>
  </w:style>
  <w:style w:type="paragraph" w:styleId="ListParagraph">
    <w:name w:val="List Paragraph"/>
    <w:basedOn w:val="Normal"/>
    <w:uiPriority w:val="34"/>
    <w:qFormat/>
    <w:rsid w:val="002D01A1"/>
    <w:pPr>
      <w:ind w:left="720"/>
      <w:contextualSpacing/>
    </w:pPr>
  </w:style>
  <w:style w:type="paragraph" w:styleId="Header">
    <w:name w:val="header"/>
    <w:basedOn w:val="Normal"/>
    <w:link w:val="HeaderChar"/>
    <w:uiPriority w:val="99"/>
    <w:unhideWhenUsed/>
    <w:rsid w:val="00A93924"/>
    <w:pPr>
      <w:tabs>
        <w:tab w:val="center" w:pos="4680"/>
        <w:tab w:val="right" w:pos="9360"/>
      </w:tabs>
    </w:pPr>
  </w:style>
  <w:style w:type="character" w:customStyle="1" w:styleId="HeaderChar">
    <w:name w:val="Header Char"/>
    <w:basedOn w:val="DefaultParagraphFont"/>
    <w:link w:val="Header"/>
    <w:uiPriority w:val="99"/>
    <w:rsid w:val="00A93924"/>
    <w:rPr>
      <w:rFonts w:ascii="Calibri" w:hAnsi="Calibri" w:cs="Times New Roman"/>
    </w:rPr>
  </w:style>
  <w:style w:type="paragraph" w:styleId="Footer">
    <w:name w:val="footer"/>
    <w:basedOn w:val="Normal"/>
    <w:link w:val="FooterChar"/>
    <w:uiPriority w:val="99"/>
    <w:unhideWhenUsed/>
    <w:rsid w:val="00A93924"/>
    <w:pPr>
      <w:tabs>
        <w:tab w:val="center" w:pos="4680"/>
        <w:tab w:val="right" w:pos="9360"/>
      </w:tabs>
    </w:pPr>
  </w:style>
  <w:style w:type="character" w:customStyle="1" w:styleId="FooterChar">
    <w:name w:val="Footer Char"/>
    <w:basedOn w:val="DefaultParagraphFont"/>
    <w:link w:val="Footer"/>
    <w:uiPriority w:val="99"/>
    <w:rsid w:val="00A93924"/>
    <w:rPr>
      <w:rFonts w:ascii="Calibri" w:hAnsi="Calibri" w:cs="Times New Roman"/>
    </w:rPr>
  </w:style>
  <w:style w:type="character" w:styleId="FollowedHyperlink">
    <w:name w:val="FollowedHyperlink"/>
    <w:basedOn w:val="DefaultParagraphFont"/>
    <w:uiPriority w:val="99"/>
    <w:semiHidden/>
    <w:unhideWhenUsed/>
    <w:rsid w:val="001727AD"/>
    <w:rPr>
      <w:color w:val="800080" w:themeColor="followedHyperlink"/>
      <w:u w:val="single"/>
    </w:rPr>
  </w:style>
  <w:style w:type="character" w:customStyle="1" w:styleId="Heading1Char">
    <w:name w:val="Heading 1 Char"/>
    <w:basedOn w:val="DefaultParagraphFont"/>
    <w:link w:val="Heading1"/>
    <w:uiPriority w:val="9"/>
    <w:rsid w:val="0070355C"/>
    <w:rPr>
      <w:rFonts w:ascii="Calibri" w:eastAsiaTheme="majorEastAsia" w:hAnsi="Calibri"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5448">
      <w:bodyDiv w:val="1"/>
      <w:marLeft w:val="0"/>
      <w:marRight w:val="0"/>
      <w:marTop w:val="0"/>
      <w:marBottom w:val="0"/>
      <w:divBdr>
        <w:top w:val="none" w:sz="0" w:space="0" w:color="auto"/>
        <w:left w:val="none" w:sz="0" w:space="0" w:color="auto"/>
        <w:bottom w:val="none" w:sz="0" w:space="0" w:color="auto"/>
        <w:right w:val="none" w:sz="0" w:space="0" w:color="auto"/>
      </w:divBdr>
    </w:div>
    <w:div w:id="1274051683">
      <w:bodyDiv w:val="1"/>
      <w:marLeft w:val="0"/>
      <w:marRight w:val="0"/>
      <w:marTop w:val="0"/>
      <w:marBottom w:val="0"/>
      <w:divBdr>
        <w:top w:val="none" w:sz="0" w:space="0" w:color="auto"/>
        <w:left w:val="none" w:sz="0" w:space="0" w:color="auto"/>
        <w:bottom w:val="none" w:sz="0" w:space="0" w:color="auto"/>
        <w:right w:val="none" w:sz="0" w:space="0" w:color="auto"/>
      </w:divBdr>
    </w:div>
    <w:div w:id="1437408633">
      <w:bodyDiv w:val="1"/>
      <w:marLeft w:val="0"/>
      <w:marRight w:val="0"/>
      <w:marTop w:val="0"/>
      <w:marBottom w:val="0"/>
      <w:divBdr>
        <w:top w:val="none" w:sz="0" w:space="0" w:color="auto"/>
        <w:left w:val="none" w:sz="0" w:space="0" w:color="auto"/>
        <w:bottom w:val="none" w:sz="0" w:space="0" w:color="auto"/>
        <w:right w:val="none" w:sz="0" w:space="0" w:color="auto"/>
      </w:divBdr>
      <w:divsChild>
        <w:div w:id="411391790">
          <w:marLeft w:val="360"/>
          <w:marRight w:val="0"/>
          <w:marTop w:val="120"/>
          <w:marBottom w:val="0"/>
          <w:divBdr>
            <w:top w:val="none" w:sz="0" w:space="0" w:color="auto"/>
            <w:left w:val="none" w:sz="0" w:space="0" w:color="auto"/>
            <w:bottom w:val="none" w:sz="0" w:space="0" w:color="auto"/>
            <w:right w:val="none" w:sz="0" w:space="0" w:color="auto"/>
          </w:divBdr>
        </w:div>
        <w:div w:id="597981506">
          <w:marLeft w:val="360"/>
          <w:marRight w:val="0"/>
          <w:marTop w:val="120"/>
          <w:marBottom w:val="0"/>
          <w:divBdr>
            <w:top w:val="none" w:sz="0" w:space="0" w:color="auto"/>
            <w:left w:val="none" w:sz="0" w:space="0" w:color="auto"/>
            <w:bottom w:val="none" w:sz="0" w:space="0" w:color="auto"/>
            <w:right w:val="none" w:sz="0" w:space="0" w:color="auto"/>
          </w:divBdr>
        </w:div>
        <w:div w:id="203294237">
          <w:marLeft w:val="360"/>
          <w:marRight w:val="0"/>
          <w:marTop w:val="120"/>
          <w:marBottom w:val="0"/>
          <w:divBdr>
            <w:top w:val="none" w:sz="0" w:space="0" w:color="auto"/>
            <w:left w:val="none" w:sz="0" w:space="0" w:color="auto"/>
            <w:bottom w:val="none" w:sz="0" w:space="0" w:color="auto"/>
            <w:right w:val="none" w:sz="0" w:space="0" w:color="auto"/>
          </w:divBdr>
        </w:div>
        <w:div w:id="281040126">
          <w:marLeft w:val="360"/>
          <w:marRight w:val="0"/>
          <w:marTop w:val="120"/>
          <w:marBottom w:val="0"/>
          <w:divBdr>
            <w:top w:val="none" w:sz="0" w:space="0" w:color="auto"/>
            <w:left w:val="none" w:sz="0" w:space="0" w:color="auto"/>
            <w:bottom w:val="none" w:sz="0" w:space="0" w:color="auto"/>
            <w:right w:val="none" w:sz="0" w:space="0" w:color="auto"/>
          </w:divBdr>
        </w:div>
        <w:div w:id="548034468">
          <w:marLeft w:val="360"/>
          <w:marRight w:val="0"/>
          <w:marTop w:val="120"/>
          <w:marBottom w:val="0"/>
          <w:divBdr>
            <w:top w:val="none" w:sz="0" w:space="0" w:color="auto"/>
            <w:left w:val="none" w:sz="0" w:space="0" w:color="auto"/>
            <w:bottom w:val="none" w:sz="0" w:space="0" w:color="auto"/>
            <w:right w:val="none" w:sz="0" w:space="0" w:color="auto"/>
          </w:divBdr>
        </w:div>
      </w:divsChild>
    </w:div>
    <w:div w:id="1683052044">
      <w:bodyDiv w:val="1"/>
      <w:marLeft w:val="0"/>
      <w:marRight w:val="0"/>
      <w:marTop w:val="0"/>
      <w:marBottom w:val="0"/>
      <w:divBdr>
        <w:top w:val="none" w:sz="0" w:space="0" w:color="auto"/>
        <w:left w:val="none" w:sz="0" w:space="0" w:color="auto"/>
        <w:bottom w:val="none" w:sz="0" w:space="0" w:color="auto"/>
        <w:right w:val="none" w:sz="0" w:space="0" w:color="auto"/>
      </w:divBdr>
      <w:divsChild>
        <w:div w:id="1329744408">
          <w:marLeft w:val="360"/>
          <w:marRight w:val="0"/>
          <w:marTop w:val="120"/>
          <w:marBottom w:val="0"/>
          <w:divBdr>
            <w:top w:val="none" w:sz="0" w:space="0" w:color="auto"/>
            <w:left w:val="none" w:sz="0" w:space="0" w:color="auto"/>
            <w:bottom w:val="none" w:sz="0" w:space="0" w:color="auto"/>
            <w:right w:val="none" w:sz="0" w:space="0" w:color="auto"/>
          </w:divBdr>
        </w:div>
        <w:div w:id="979262351">
          <w:marLeft w:val="360"/>
          <w:marRight w:val="0"/>
          <w:marTop w:val="120"/>
          <w:marBottom w:val="0"/>
          <w:divBdr>
            <w:top w:val="none" w:sz="0" w:space="0" w:color="auto"/>
            <w:left w:val="none" w:sz="0" w:space="0" w:color="auto"/>
            <w:bottom w:val="none" w:sz="0" w:space="0" w:color="auto"/>
            <w:right w:val="none" w:sz="0" w:space="0" w:color="auto"/>
          </w:divBdr>
        </w:div>
        <w:div w:id="2014409194">
          <w:marLeft w:val="360"/>
          <w:marRight w:val="0"/>
          <w:marTop w:val="120"/>
          <w:marBottom w:val="0"/>
          <w:divBdr>
            <w:top w:val="none" w:sz="0" w:space="0" w:color="auto"/>
            <w:left w:val="none" w:sz="0" w:space="0" w:color="auto"/>
            <w:bottom w:val="none" w:sz="0" w:space="0" w:color="auto"/>
            <w:right w:val="none" w:sz="0" w:space="0" w:color="auto"/>
          </w:divBdr>
        </w:div>
        <w:div w:id="562103883">
          <w:marLeft w:val="360"/>
          <w:marRight w:val="0"/>
          <w:marTop w:val="120"/>
          <w:marBottom w:val="0"/>
          <w:divBdr>
            <w:top w:val="none" w:sz="0" w:space="0" w:color="auto"/>
            <w:left w:val="none" w:sz="0" w:space="0" w:color="auto"/>
            <w:bottom w:val="none" w:sz="0" w:space="0" w:color="auto"/>
            <w:right w:val="none" w:sz="0" w:space="0" w:color="auto"/>
          </w:divBdr>
        </w:div>
        <w:div w:id="1871600717">
          <w:marLeft w:val="360"/>
          <w:marRight w:val="0"/>
          <w:marTop w:val="120"/>
          <w:marBottom w:val="0"/>
          <w:divBdr>
            <w:top w:val="none" w:sz="0" w:space="0" w:color="auto"/>
            <w:left w:val="none" w:sz="0" w:space="0" w:color="auto"/>
            <w:bottom w:val="none" w:sz="0" w:space="0" w:color="auto"/>
            <w:right w:val="none" w:sz="0" w:space="0" w:color="auto"/>
          </w:divBdr>
        </w:div>
        <w:div w:id="1333216210">
          <w:marLeft w:val="360"/>
          <w:marRight w:val="0"/>
          <w:marTop w:val="120"/>
          <w:marBottom w:val="0"/>
          <w:divBdr>
            <w:top w:val="none" w:sz="0" w:space="0" w:color="auto"/>
            <w:left w:val="none" w:sz="0" w:space="0" w:color="auto"/>
            <w:bottom w:val="none" w:sz="0" w:space="0" w:color="auto"/>
            <w:right w:val="none" w:sz="0" w:space="0" w:color="auto"/>
          </w:divBdr>
        </w:div>
        <w:div w:id="1196961016">
          <w:marLeft w:val="360"/>
          <w:marRight w:val="0"/>
          <w:marTop w:val="120"/>
          <w:marBottom w:val="0"/>
          <w:divBdr>
            <w:top w:val="none" w:sz="0" w:space="0" w:color="auto"/>
            <w:left w:val="none" w:sz="0" w:space="0" w:color="auto"/>
            <w:bottom w:val="none" w:sz="0" w:space="0" w:color="auto"/>
            <w:right w:val="none" w:sz="0" w:space="0" w:color="auto"/>
          </w:divBdr>
        </w:div>
        <w:div w:id="398141619">
          <w:marLeft w:val="360"/>
          <w:marRight w:val="0"/>
          <w:marTop w:val="120"/>
          <w:marBottom w:val="0"/>
          <w:divBdr>
            <w:top w:val="none" w:sz="0" w:space="0" w:color="auto"/>
            <w:left w:val="none" w:sz="0" w:space="0" w:color="auto"/>
            <w:bottom w:val="none" w:sz="0" w:space="0" w:color="auto"/>
            <w:right w:val="none" w:sz="0" w:space="0" w:color="auto"/>
          </w:divBdr>
        </w:div>
        <w:div w:id="999576211">
          <w:marLeft w:val="360"/>
          <w:marRight w:val="0"/>
          <w:marTop w:val="120"/>
          <w:marBottom w:val="0"/>
          <w:divBdr>
            <w:top w:val="none" w:sz="0" w:space="0" w:color="auto"/>
            <w:left w:val="none" w:sz="0" w:space="0" w:color="auto"/>
            <w:bottom w:val="none" w:sz="0" w:space="0" w:color="auto"/>
            <w:right w:val="none" w:sz="0" w:space="0" w:color="auto"/>
          </w:divBdr>
        </w:div>
        <w:div w:id="1791900138">
          <w:marLeft w:val="547"/>
          <w:marRight w:val="0"/>
          <w:marTop w:val="0"/>
          <w:marBottom w:val="0"/>
          <w:divBdr>
            <w:top w:val="none" w:sz="0" w:space="0" w:color="auto"/>
            <w:left w:val="none" w:sz="0" w:space="0" w:color="auto"/>
            <w:bottom w:val="none" w:sz="0" w:space="0" w:color="auto"/>
            <w:right w:val="none" w:sz="0" w:space="0" w:color="auto"/>
          </w:divBdr>
        </w:div>
      </w:divsChild>
    </w:div>
    <w:div w:id="1730882516">
      <w:bodyDiv w:val="1"/>
      <w:marLeft w:val="0"/>
      <w:marRight w:val="0"/>
      <w:marTop w:val="0"/>
      <w:marBottom w:val="0"/>
      <w:divBdr>
        <w:top w:val="none" w:sz="0" w:space="0" w:color="auto"/>
        <w:left w:val="none" w:sz="0" w:space="0" w:color="auto"/>
        <w:bottom w:val="none" w:sz="0" w:space="0" w:color="auto"/>
        <w:right w:val="none" w:sz="0" w:space="0" w:color="auto"/>
      </w:divBdr>
    </w:div>
    <w:div w:id="18337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ILRR-announcements@naric.com" TargetMode="External"/><Relationship Id="rId13" Type="http://schemas.openxmlformats.org/officeDocument/2006/relationships/hyperlink" Target="http://www.implementationscience.com/content/5/1/9" TargetMode="External"/><Relationship Id="rId18" Type="http://schemas.openxmlformats.org/officeDocument/2006/relationships/hyperlink" Target="http://journals.sagepub.com/doi/full/10.1177/20503121145543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mplementationscience.com/content/5/1/9" TargetMode="External"/><Relationship Id="rId17" Type="http://schemas.openxmlformats.org/officeDocument/2006/relationships/hyperlink" Target="http://www.implementationscience.com/content/7/1/44/abstract" TargetMode="External"/><Relationship Id="rId2" Type="http://schemas.openxmlformats.org/officeDocument/2006/relationships/numbering" Target="numbering.xml"/><Relationship Id="rId16" Type="http://schemas.openxmlformats.org/officeDocument/2006/relationships/hyperlink" Target="http://webcache.googleusercontent.com/search?q=cache:Kg6VsiJoNZAJ:partners.niehs.nih.gov/assets/docs/draft_translational_research_framework_508.pdf+&amp;cd=2&amp;hl=en&amp;ct=clnk&amp;gl=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lementationscience.com/content/8/1/21" TargetMode="External"/><Relationship Id="rId5" Type="http://schemas.openxmlformats.org/officeDocument/2006/relationships/webSettings" Target="webSettings.xml"/><Relationship Id="rId15" Type="http://schemas.openxmlformats.org/officeDocument/2006/relationships/hyperlink" Target="https://ncats.nih.gov/translation/spectrum" TargetMode="External"/><Relationship Id="rId10" Type="http://schemas.openxmlformats.org/officeDocument/2006/relationships/hyperlink" Target="http://www.cihr-irsc.gc.ca/e/29418.html" TargetMode="External"/><Relationship Id="rId19" Type="http://schemas.openxmlformats.org/officeDocument/2006/relationships/hyperlink" Target="https://www.atia.org/wp-content/uploads/2015/10/ATOBV9N1.pdf" TargetMode="External"/><Relationship Id="rId4" Type="http://schemas.openxmlformats.org/officeDocument/2006/relationships/settings" Target="settings.xml"/><Relationship Id="rId9" Type="http://schemas.openxmlformats.org/officeDocument/2006/relationships/hyperlink" Target="http://www.cihr-irsc.gc.ca/e/29418.html" TargetMode="External"/><Relationship Id="rId14" Type="http://schemas.openxmlformats.org/officeDocument/2006/relationships/hyperlink" Target="https://ncats.nih.gov/translation/spectru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A80E-4A83-46E4-8382-6FC5796F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vstone</dc:creator>
  <cp:lastModifiedBy>lyarnes</cp:lastModifiedBy>
  <cp:revision>3</cp:revision>
  <dcterms:created xsi:type="dcterms:W3CDTF">2018-04-11T13:57:00Z</dcterms:created>
  <dcterms:modified xsi:type="dcterms:W3CDTF">2018-04-11T15:21:00Z</dcterms:modified>
</cp:coreProperties>
</file>